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8" w:rsidRPr="009143D8" w:rsidRDefault="009143D8" w:rsidP="009143D8">
      <w:pPr>
        <w:jc w:val="right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>ПРОЕКТ</w:t>
      </w: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3D8" w:rsidRPr="009143D8" w:rsidRDefault="009143D8" w:rsidP="009143D8">
      <w:pPr>
        <w:jc w:val="center"/>
        <w:rPr>
          <w:rFonts w:ascii="Times New Roman" w:hAnsi="Times New Roman"/>
          <w:b/>
          <w:sz w:val="28"/>
          <w:szCs w:val="28"/>
        </w:rPr>
      </w:pPr>
      <w:r w:rsidRPr="00914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«_____»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2022г. </w:t>
      </w:r>
      <w:r w:rsidRPr="009143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______  </w:t>
      </w:r>
      <w:r w:rsidRPr="0091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143D8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9143D8">
        <w:rPr>
          <w:rFonts w:ascii="Times New Roman" w:hAnsi="Times New Roman"/>
          <w:sz w:val="28"/>
          <w:szCs w:val="28"/>
        </w:rPr>
        <w:t>с</w:t>
      </w:r>
      <w:proofErr w:type="gramEnd"/>
      <w:r w:rsidRPr="009143D8">
        <w:rPr>
          <w:rFonts w:ascii="Times New Roman" w:hAnsi="Times New Roman"/>
          <w:sz w:val="28"/>
          <w:szCs w:val="28"/>
        </w:rPr>
        <w:t>. Калманка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</w:tblGrid>
      <w:tr w:rsidR="009143D8" w:rsidRPr="009143D8" w:rsidTr="005B5C1A">
        <w:tc>
          <w:tcPr>
            <w:tcW w:w="5688" w:type="dxa"/>
          </w:tcPr>
          <w:p w:rsidR="009143D8" w:rsidRPr="009143D8" w:rsidRDefault="009143D8" w:rsidP="009143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3D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ввод объектов в эксплуатацию»</w:t>
            </w:r>
          </w:p>
          <w:p w:rsidR="009143D8" w:rsidRPr="009143D8" w:rsidRDefault="009143D8" w:rsidP="009143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изменениями, внесенными в Градостроительный кодекс Российской Федерации,  </w:t>
      </w:r>
    </w:p>
    <w:p w:rsidR="009143D8" w:rsidRPr="00493606" w:rsidRDefault="009143D8" w:rsidP="009143D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3606">
        <w:rPr>
          <w:rFonts w:ascii="Times New Roman" w:hAnsi="Times New Roman"/>
          <w:b/>
          <w:sz w:val="28"/>
          <w:szCs w:val="28"/>
        </w:rPr>
        <w:t>ПОСТАНОВЛЯЮ: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</w:t>
      </w:r>
      <w:r w:rsidR="007278E1">
        <w:rPr>
          <w:rFonts w:ascii="Times New Roman" w:hAnsi="Times New Roman"/>
          <w:sz w:val="28"/>
          <w:szCs w:val="28"/>
        </w:rPr>
        <w:t>я</w:t>
      </w:r>
      <w:r w:rsidRPr="009143D8">
        <w:rPr>
          <w:rFonts w:ascii="Times New Roman" w:hAnsi="Times New Roman"/>
          <w:sz w:val="28"/>
          <w:szCs w:val="28"/>
        </w:rPr>
        <w:t xml:space="preserve"> на ввод объектов в эксплуатацию» (прилагается). 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Калманского района от 29.12.2018 г. № 694 «Об утверждении Административного регламента предоставления муниципальной услуги «Выдача разрешений на строительство и ввод объектов в эксплуатацию».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 xml:space="preserve">3. Разместить данное постановление на официальном </w:t>
      </w:r>
      <w:proofErr w:type="gramStart"/>
      <w:r w:rsidRPr="009143D8">
        <w:rPr>
          <w:rFonts w:ascii="Times New Roman" w:hAnsi="Times New Roman"/>
          <w:sz w:val="28"/>
          <w:szCs w:val="28"/>
        </w:rPr>
        <w:t>сайте</w:t>
      </w:r>
      <w:proofErr w:type="gramEnd"/>
      <w:r w:rsidRPr="009143D8">
        <w:rPr>
          <w:rFonts w:ascii="Times New Roman" w:hAnsi="Times New Roman"/>
          <w:sz w:val="28"/>
          <w:szCs w:val="28"/>
        </w:rPr>
        <w:t xml:space="preserve"> администрации района в сети Интернет.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 xml:space="preserve">4.   </w:t>
      </w:r>
      <w:proofErr w:type="gramStart"/>
      <w:r w:rsidRPr="009143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3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43D8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3D8">
        <w:rPr>
          <w:rFonts w:ascii="Times New Roman" w:hAnsi="Times New Roman"/>
          <w:sz w:val="28"/>
          <w:szCs w:val="28"/>
        </w:rPr>
        <w:t>Глава Калманского района                                                   С.Ф. Бунет</w:t>
      </w: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3D8" w:rsidRPr="009143D8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9143D8" w:rsidRPr="002B476B" w:rsidTr="005B5C1A">
        <w:trPr>
          <w:trHeight w:val="848"/>
        </w:trPr>
        <w:tc>
          <w:tcPr>
            <w:tcW w:w="4075" w:type="dxa"/>
          </w:tcPr>
          <w:p w:rsidR="009143D8" w:rsidRPr="009143D8" w:rsidRDefault="009143D8" w:rsidP="009143D8">
            <w:pPr>
              <w:spacing w:after="0"/>
              <w:rPr>
                <w:color w:val="000000"/>
                <w:sz w:val="24"/>
                <w:szCs w:val="24"/>
              </w:rPr>
            </w:pPr>
            <w:r w:rsidRPr="009143D8">
              <w:rPr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143D8" w:rsidRPr="009143D8" w:rsidRDefault="009143D8" w:rsidP="009143D8">
            <w:pPr>
              <w:spacing w:after="0"/>
              <w:rPr>
                <w:color w:val="000000"/>
                <w:sz w:val="24"/>
                <w:szCs w:val="24"/>
              </w:rPr>
            </w:pPr>
            <w:r w:rsidRPr="009143D8">
              <w:rPr>
                <w:color w:val="000000"/>
                <w:sz w:val="24"/>
                <w:szCs w:val="24"/>
              </w:rPr>
              <w:t xml:space="preserve">администрации Калманского района </w:t>
            </w:r>
          </w:p>
          <w:p w:rsidR="009143D8" w:rsidRPr="002B476B" w:rsidRDefault="009143D8" w:rsidP="009143D8">
            <w:pPr>
              <w:spacing w:after="0"/>
              <w:rPr>
                <w:color w:val="000000"/>
              </w:rPr>
            </w:pPr>
            <w:r w:rsidRPr="009143D8">
              <w:rPr>
                <w:color w:val="000000"/>
                <w:sz w:val="24"/>
                <w:szCs w:val="24"/>
              </w:rPr>
              <w:t>от «______ » ________2022 г. № ____</w:t>
            </w:r>
          </w:p>
        </w:tc>
      </w:tr>
    </w:tbl>
    <w:p w:rsidR="009143D8" w:rsidRDefault="009143D8" w:rsidP="009143D8">
      <w:pPr>
        <w:jc w:val="center"/>
        <w:rPr>
          <w:color w:val="000000"/>
        </w:rPr>
      </w:pPr>
    </w:p>
    <w:p w:rsidR="009143D8" w:rsidRPr="005B5C1A" w:rsidRDefault="009143D8" w:rsidP="009143D8">
      <w:pPr>
        <w:tabs>
          <w:tab w:val="left" w:pos="3544"/>
          <w:tab w:val="left" w:pos="3969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5C1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43D8" w:rsidRPr="005B5C1A" w:rsidRDefault="009143D8" w:rsidP="009143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5B5C1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9143D8" w:rsidRPr="005B5C1A" w:rsidRDefault="009143D8" w:rsidP="009143D8">
      <w:pPr>
        <w:spacing w:after="0" w:line="240" w:lineRule="exact"/>
        <w:jc w:val="center"/>
        <w:rPr>
          <w:sz w:val="24"/>
          <w:szCs w:val="24"/>
        </w:rPr>
      </w:pPr>
    </w:p>
    <w:p w:rsidR="00511437" w:rsidRPr="005B5C1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511437" w:rsidRPr="005B5C1A" w:rsidRDefault="00762452" w:rsidP="009143D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5B5C1A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D20AF" w:rsidRPr="005B5C1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Pr="005B5C1A" w:rsidRDefault="006D20AF" w:rsidP="009143D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6D20AF" w:rsidRPr="005B5C1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ACD" w:rsidRPr="005B5C1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5B5C1A">
        <w:rPr>
          <w:rFonts w:ascii="Times New Roman" w:hAnsi="Times New Roman"/>
          <w:color w:val="000000" w:themeColor="text1"/>
          <w:sz w:val="24"/>
          <w:szCs w:val="24"/>
        </w:rPr>
        <w:t>редоставления государственной (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F93712"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DB1AC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</w:t>
      </w:r>
      <w:proofErr w:type="gramEnd"/>
      <w:r w:rsidR="00DB1AC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5B5C1A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5B5C1A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5B5C1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5B5C1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государственной (муниципальной) услуги</w:t>
      </w:r>
      <w:r w:rsidR="00F218F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5B5C1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5B5C1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6D20AF" w:rsidRPr="005B5C1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государственной власти, орган мест</w:t>
      </w:r>
      <w:r w:rsidR="009317F1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0D2AC8"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5B5C1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(функций)»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5B5C1A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портале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Федерации (</w:t>
      </w:r>
      <w:r w:rsidR="00D60281" w:rsidRPr="005B5C1A">
        <w:rPr>
          <w:rFonts w:ascii="Times New Roman" w:hAnsi="Times New Roman"/>
          <w:iCs/>
          <w:color w:val="000000" w:themeColor="text1"/>
          <w:sz w:val="24"/>
          <w:szCs w:val="24"/>
        </w:rPr>
        <w:t>https://www.altairegion22.ru</w:t>
      </w:r>
      <w:r w:rsidR="00D60281"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>/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 (далее – региональный портал)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сайте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r w:rsidR="00D60281" w:rsidRPr="005B5C1A">
        <w:rPr>
          <w:rFonts w:ascii="Times New Roman" w:hAnsi="Times New Roman"/>
          <w:iCs/>
          <w:color w:val="000000" w:themeColor="text1"/>
          <w:sz w:val="24"/>
          <w:szCs w:val="24"/>
        </w:rPr>
        <w:t>http://www.kalmanka-adm.ru/</w:t>
      </w:r>
      <w:r w:rsidRPr="005B5C1A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5B5C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5B5C1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5B5C1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государственной (муниципальной) </w:t>
      </w:r>
      <w:r w:rsidR="0034065F" w:rsidRPr="005B5C1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государственной (муниципальной) 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Государственная (муниципальная) услуга предоставляется Уполномоченным органом </w:t>
      </w:r>
      <w:r w:rsidR="001C37A7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Администрацией Калманского района Алтайского края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5B5C1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5B5C1A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B3F69" w:rsidRPr="005B5C1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5B5C1A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2.4. </w:t>
      </w:r>
      <w:proofErr w:type="gramStart"/>
      <w:r w:rsidRPr="005B5C1A">
        <w:rPr>
          <w:bCs/>
          <w:color w:val="000000" w:themeColor="text1"/>
          <w:sz w:val="24"/>
          <w:szCs w:val="24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5B5C1A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5B5C1A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5B5C1A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5B5C1A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5B5C1A">
        <w:rPr>
          <w:bCs/>
          <w:color w:val="000000" w:themeColor="text1"/>
          <w:sz w:val="24"/>
          <w:szCs w:val="24"/>
        </w:rPr>
        <w:t>2.</w:t>
      </w:r>
      <w:r w:rsidRPr="005B5C1A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5B5C1A">
        <w:rPr>
          <w:bCs/>
          <w:color w:val="000000" w:themeColor="text1"/>
          <w:sz w:val="24"/>
          <w:szCs w:val="24"/>
        </w:rPr>
        <w:t>, одним из</w:t>
      </w:r>
      <w:r w:rsidRPr="005B5C1A">
        <w:rPr>
          <w:bCs/>
          <w:color w:val="000000" w:themeColor="text1"/>
          <w:sz w:val="24"/>
          <w:szCs w:val="24"/>
        </w:rPr>
        <w:t xml:space="preserve"> следующих способов: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5B5C1A">
        <w:rPr>
          <w:color w:val="000000" w:themeColor="text1"/>
          <w:sz w:val="24"/>
          <w:szCs w:val="24"/>
        </w:rPr>
        <w:t xml:space="preserve"> 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Заявление о выдаче разрешения на ввод объекта в эксплуатацию подписывается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5B5C1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 на бумажном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носителе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предоставления государственных и муниципальных услуг и федеральными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5B5C1A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5B5C1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5B5C1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5B5C1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возможность идентифицировать документ и количество листов в документе;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Документы, подлежащие представлению в форматах xls, xlsx или ods, формируются в виде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отдельного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документа, представляемого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A56D1E" w:rsidRPr="005B5C1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D1E" w:rsidRPr="005B5C1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5B5C1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2.9. </w:t>
      </w:r>
      <w:proofErr w:type="gramStart"/>
      <w:r w:rsidRPr="005B5C1A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</w:t>
      </w:r>
      <w:r w:rsidRPr="005B5C1A">
        <w:rPr>
          <w:bCs/>
          <w:color w:val="000000" w:themeColor="text1"/>
          <w:sz w:val="24"/>
          <w:szCs w:val="24"/>
        </w:rPr>
        <w:lastRenderedPageBreak/>
        <w:t>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Pr="005B5C1A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, в распоряжении </w:t>
      </w:r>
      <w:r w:rsidRPr="005B5C1A">
        <w:rPr>
          <w:color w:val="000000" w:themeColor="text1"/>
          <w:sz w:val="24"/>
          <w:szCs w:val="24"/>
        </w:rPr>
        <w:t xml:space="preserve">которых </w:t>
      </w:r>
      <w:r w:rsidRPr="005B5C1A">
        <w:rPr>
          <w:bCs/>
          <w:color w:val="000000" w:themeColor="text1"/>
          <w:sz w:val="24"/>
          <w:szCs w:val="24"/>
        </w:rPr>
        <w:t xml:space="preserve">находятся </w:t>
      </w:r>
      <w:r w:rsidRPr="005B5C1A">
        <w:rPr>
          <w:color w:val="000000" w:themeColor="text1"/>
          <w:sz w:val="24"/>
          <w:szCs w:val="24"/>
        </w:rPr>
        <w:t xml:space="preserve">указанные документы, </w:t>
      </w:r>
      <w:r w:rsidRPr="005B5C1A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индивидуальных предпринимателей (при обращении застройщика, являющегося индивидуальным предпринимателем)</w:t>
      </w:r>
      <w:r w:rsidR="00E858EB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5B5C1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5B5C1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указанного заявления.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Срок предоставления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государственной (муниципальной)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5B5C1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946605" w:rsidRPr="005B5C1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946605" w:rsidRPr="005B5C1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5B5C1A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5B5C1A">
        <w:rPr>
          <w:color w:val="000000" w:themeColor="text1"/>
          <w:sz w:val="24"/>
          <w:szCs w:val="24"/>
        </w:rPr>
        <w:t xml:space="preserve"> </w:t>
      </w:r>
      <w:r w:rsidR="00CE774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5B5C1A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5B5C1A">
        <w:rPr>
          <w:bCs/>
          <w:color w:val="000000" w:themeColor="text1"/>
          <w:sz w:val="24"/>
          <w:szCs w:val="24"/>
        </w:rPr>
        <w:t>, орган местного самоуправления, организацию.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не препятствует повторному обращению заявителя в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уполномоченный орган государственной власти, орган местного самоуправления, организацию за получением услуги.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946605" w:rsidRPr="005B5C1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5B5C1A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5B5C1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35A7F" w:rsidRPr="005B5C1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5B5C1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5B5C1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4E3C8F" w:rsidRPr="005B5C1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5B5C1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5B5C1A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  <w:proofErr w:type="gramEnd"/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5B5C1A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5B5C1A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</w:t>
      </w:r>
      <w:r w:rsidRPr="005B5C1A">
        <w:rPr>
          <w:bCs/>
          <w:color w:val="000000" w:themeColor="text1"/>
          <w:sz w:val="24"/>
          <w:szCs w:val="24"/>
        </w:rPr>
        <w:lastRenderedPageBreak/>
        <w:t xml:space="preserve">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5B5C1A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;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5B5C1A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. </w:t>
      </w:r>
      <w:r w:rsidR="002B3279" w:rsidRPr="005B5C1A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5B5C1A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5B5C1A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>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5B5C1A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5B5C1A">
        <w:rPr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color w:val="000000" w:themeColor="text1"/>
          <w:sz w:val="24"/>
          <w:szCs w:val="24"/>
        </w:rPr>
        <w:t xml:space="preserve">, </w:t>
      </w:r>
      <w:r w:rsidRPr="005B5C1A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5B5C1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B5C1A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5B5C1A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5B5C1A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B5C1A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5B5C1A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5B5C1A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5B5C1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5B5C1A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</w:t>
      </w:r>
      <w:r w:rsidRPr="005B5C1A">
        <w:rPr>
          <w:bCs/>
          <w:color w:val="000000" w:themeColor="text1"/>
          <w:sz w:val="24"/>
          <w:szCs w:val="24"/>
        </w:rPr>
        <w:lastRenderedPageBreak/>
        <w:t xml:space="preserve">оставлении заявления </w:t>
      </w:r>
      <w:r w:rsidRPr="005B5C1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5B5C1A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5B5C1A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:rsidR="00CE7745" w:rsidRPr="005B5C1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5B5C1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5B5C1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5B5C1A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5B5C1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5B5C1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0443B4" w:rsidRPr="005B5C1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5B5C1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5B5C1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5B5C1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стенде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печатаются удобным для чтения шрифтом, без исправлений, с выделением наиболее важных мест полужирным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шрифтом.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надлежащее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5B5C1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5B5C1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5B5C1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5B5C1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5B5C1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2690" w:rsidRPr="005B5C1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дополнительной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5B5C1A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5B5C1A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>течение не менее 3 месяцев.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  <w:proofErr w:type="gramEnd"/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Ответственное должностное лицо: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виде </w:t>
      </w:r>
      <w:proofErr w:type="gramStart"/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бумажного</w:t>
      </w:r>
      <w:proofErr w:type="gramEnd"/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5B5C1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>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707742" w:rsidRPr="005B5C1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5B5C1A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государственной (муниципальной) услуги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основании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годовых планов работы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>Алтайского края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493606">
        <w:rPr>
          <w:rFonts w:ascii="Times New Roman" w:hAnsi="Times New Roman"/>
          <w:color w:val="000000" w:themeColor="text1"/>
          <w:sz w:val="24"/>
          <w:szCs w:val="24"/>
        </w:rPr>
        <w:t>калманского</w:t>
      </w:r>
      <w:proofErr w:type="spellEnd"/>
      <w:r w:rsidR="00493606">
        <w:rPr>
          <w:rFonts w:ascii="Times New Roman" w:hAnsi="Times New Roman"/>
          <w:color w:val="000000" w:themeColor="text1"/>
          <w:sz w:val="24"/>
          <w:szCs w:val="24"/>
        </w:rPr>
        <w:t xml:space="preserve"> района Алтайского края</w:t>
      </w:r>
      <w:r w:rsidRPr="005B5C1A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государственной (муниципальной) услуги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>Алтайского края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4936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Калманского района Алтайского края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государственной (муниципальной) услуги, в том числе со стороны граждан,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262" w:rsidRPr="005B5C1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C60262" w:rsidRPr="005B5C1A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5B5C1A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5B5C1A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5.3.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5B5C1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5B5C1A" w:rsidRDefault="00FF447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CE6C97" w:rsidRPr="005B5C1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B5C1A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5B5C1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5B5C1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информирование заявителей о порядке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5B5C1A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51802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C51802" w:rsidRPr="005B5C1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5B5C1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1802" w:rsidRPr="005B5C1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C51802" w:rsidRPr="005B5C1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заключенным между 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proofErr w:type="gramEnd"/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5B5C1A">
        <w:rPr>
          <w:rFonts w:ascii="Times New Roman" w:hAnsi="Times New Roman"/>
          <w:color w:val="000000" w:themeColor="text1"/>
          <w:sz w:val="24"/>
          <w:szCs w:val="24"/>
        </w:rPr>
        <w:t>, органами местного самоуправления"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5B5C1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5B5C1A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устанавливает личность заявителя на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основании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5B5C1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5B5C1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заверяет экземпляр электронного документа на бумажном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носителе</w:t>
      </w:r>
      <w:proofErr w:type="gramEnd"/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5B5C1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5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55C9F" w:rsidRPr="00855C9F" w:rsidTr="00855C9F">
        <w:tc>
          <w:tcPr>
            <w:tcW w:w="4075" w:type="dxa"/>
          </w:tcPr>
          <w:p w:rsidR="00855C9F" w:rsidRPr="00855C9F" w:rsidRDefault="00855C9F" w:rsidP="00855C9F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55C9F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855C9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ПРИЛОЖЕНИЕ № 1</w:t>
            </w:r>
            <w:r w:rsidRPr="00855C9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B5C1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B5C1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5B5C1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5B5C1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B5C1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5B5C1A" w:rsidTr="00890957">
        <w:trPr>
          <w:trHeight w:val="60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428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75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</w:t>
            </w:r>
            <w:proofErr w:type="gramStart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личность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6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279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7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901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5B5C1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B5C1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5B5C1A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5B5C1A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Российской Федерации) </w:t>
            </w:r>
            <w:r w:rsidRPr="005B5C1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ая) 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00"/>
        </w:trPr>
        <w:tc>
          <w:tcPr>
            <w:tcW w:w="1110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5B5C1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5B5C1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5B5C1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B5C1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5B5C1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2"/>
        <w:tblW w:w="0" w:type="auto"/>
        <w:tblInd w:w="5778" w:type="dxa"/>
        <w:tblLook w:val="04A0"/>
      </w:tblPr>
      <w:tblGrid>
        <w:gridCol w:w="4359"/>
      </w:tblGrid>
      <w:tr w:rsidR="00A11B9C" w:rsidRPr="00A11B9C" w:rsidTr="00A11B9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2 </w:t>
            </w: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к Административному регламенту предоставления государственной и муниципальной услуги "Выдача разрешения 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5B5C1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proofErr w:type="gramStart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5B5C1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5B5C1A" w:rsidTr="00BC4D02">
        <w:tc>
          <w:tcPr>
            <w:tcW w:w="1276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806"/>
        </w:trPr>
        <w:tc>
          <w:tcPr>
            <w:tcW w:w="1276" w:type="dxa"/>
          </w:tcPr>
          <w:p w:rsidR="00226BE1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5B5C1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5B5C1A" w:rsidTr="00BC4D02">
        <w:trPr>
          <w:trHeight w:val="1457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"г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5B5C1A" w:rsidTr="00BC4D02">
        <w:trPr>
          <w:trHeight w:val="1320"/>
        </w:trPr>
        <w:tc>
          <w:tcPr>
            <w:tcW w:w="1276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5B5C1A" w:rsidTr="00BC4D02">
        <w:trPr>
          <w:trHeight w:val="1560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5B5C1A" w:rsidTr="005B5C1A">
        <w:trPr>
          <w:trHeight w:val="2215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5B5C1A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5B5C1A" w:rsidTr="00BC4D02">
        <w:trPr>
          <w:trHeight w:val="28"/>
        </w:trPr>
        <w:tc>
          <w:tcPr>
            <w:tcW w:w="1276" w:type="dxa"/>
          </w:tcPr>
          <w:p w:rsidR="00564F60" w:rsidRPr="005B5C1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A11B9C" w:rsidRPr="005B5C1A" w:rsidRDefault="00564F60" w:rsidP="005B5C1A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11B9C" w:rsidRPr="00A11B9C" w:rsidTr="00A11B9C">
        <w:trPr>
          <w:trHeight w:val="1410"/>
        </w:trPr>
        <w:tc>
          <w:tcPr>
            <w:tcW w:w="4075" w:type="dxa"/>
          </w:tcPr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3 </w:t>
            </w: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предоставления </w:t>
            </w:r>
            <w:proofErr w:type="gramStart"/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государственной</w:t>
            </w:r>
            <w:proofErr w:type="gramEnd"/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</w:p>
          <w:p w:rsidR="00A11B9C" w:rsidRPr="00A11B9C" w:rsidRDefault="00A11B9C" w:rsidP="00A11B9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муниципальной услуги "Выдача </w:t>
            </w:r>
          </w:p>
          <w:p w:rsidR="00A11B9C" w:rsidRPr="00A11B9C" w:rsidRDefault="00A11B9C" w:rsidP="00A11B9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11B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5B5C1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B5C1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5B5C1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5B5C1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ринято 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5B5C1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5B5C1A" w:rsidTr="00BC4D02">
        <w:tc>
          <w:tcPr>
            <w:tcW w:w="1418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5B5C1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5B5C1A" w:rsidTr="00BC4D02">
        <w:trPr>
          <w:trHeight w:val="837"/>
        </w:trPr>
        <w:tc>
          <w:tcPr>
            <w:tcW w:w="1418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537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28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548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5B5C1A" w:rsidTr="00BC4D02">
        <w:trPr>
          <w:trHeight w:val="1244"/>
        </w:trPr>
        <w:tc>
          <w:tcPr>
            <w:tcW w:w="1418" w:type="dxa"/>
          </w:tcPr>
          <w:p w:rsidR="00564F60" w:rsidRPr="005B5C1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5B5C1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5B5C1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не введен в эксплуатацию</w:t>
            </w:r>
          </w:p>
        </w:tc>
        <w:tc>
          <w:tcPr>
            <w:tcW w:w="3827" w:type="dxa"/>
          </w:tcPr>
          <w:p w:rsidR="00564F60" w:rsidRPr="005B5C1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5C1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5B5C1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B5C1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5B5C1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5B5C1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4467" w:type="dxa"/>
        <w:tblInd w:w="5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F41E8" w:rsidRPr="001F41E8" w:rsidTr="001F41E8">
        <w:tc>
          <w:tcPr>
            <w:tcW w:w="4467" w:type="dxa"/>
          </w:tcPr>
          <w:p w:rsidR="001F41E8" w:rsidRPr="001F41E8" w:rsidRDefault="001F41E8" w:rsidP="001F41E8">
            <w:pPr>
              <w:tabs>
                <w:tab w:val="left" w:pos="5670"/>
              </w:tabs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4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к Административному регламенту предоставления государственной и муниципальной услуги 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"Выдача разрешения на ввод объекта в эксплуатацию"</w:t>
            </w:r>
          </w:p>
        </w:tc>
      </w:tr>
    </w:tbl>
    <w:p w:rsidR="00564F60" w:rsidRPr="005B5C1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5B5C1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:rsidR="00564F60" w:rsidRPr="005B5C1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5B5C1A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5B5C1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564F60" w:rsidRPr="005B5C1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5B5C1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5B5C1A" w:rsidTr="00890957">
        <w:trPr>
          <w:trHeight w:val="60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428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75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</w:t>
            </w:r>
            <w:proofErr w:type="gramStart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личность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66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279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7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901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5B5C1A">
        <w:trPr>
          <w:trHeight w:val="87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 Сведения о выданном разрешении на ввод объекта в эксплуатацию, содержащем</w:t>
            </w:r>
            <w:r w:rsidRPr="005B5C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5B5C1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B5C1A" w:rsidTr="00890957">
        <w:trPr>
          <w:trHeight w:val="625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B5C1A" w:rsidTr="005B5C1A">
        <w:trPr>
          <w:trHeight w:val="615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B5C1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proofErr w:type="gramStart"/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5B5C1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5B5C1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5B5C1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B5C1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5B5C1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5B5C1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5B5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564F60" w:rsidRPr="005B5C1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5C1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5B5C1A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C1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</w:t>
            </w:r>
            <w:proofErr w:type="gramStart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B5C1A" w:rsidTr="00890957">
        <w:tc>
          <w:tcPr>
            <w:tcW w:w="9137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5B5C1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F41E8" w:rsidRDefault="00564F60" w:rsidP="004337C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F41E8" w:rsidRPr="001F41E8" w:rsidTr="001F41E8">
        <w:trPr>
          <w:trHeight w:val="838"/>
        </w:trPr>
        <w:tc>
          <w:tcPr>
            <w:tcW w:w="4075" w:type="dxa"/>
          </w:tcPr>
          <w:p w:rsidR="001F41E8" w:rsidRPr="001F41E8" w:rsidRDefault="001F41E8" w:rsidP="001F41E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</w:t>
            </w:r>
            <w:r w:rsidRPr="001F41E8">
              <w:rPr>
                <w:color w:val="000000" w:themeColor="text1"/>
                <w:sz w:val="20"/>
                <w:szCs w:val="20"/>
              </w:rPr>
              <w:t>ПРИЛОЖЕНИЕ № 5</w:t>
            </w:r>
          </w:p>
          <w:p w:rsidR="001F41E8" w:rsidRPr="001F41E8" w:rsidRDefault="001F41E8" w:rsidP="001F41E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4337C3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Pr="004337C3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="00BB4DAB" w:rsidRPr="004337C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 во внесении</w:t>
      </w:r>
    </w:p>
    <w:p w:rsidR="00564F60" w:rsidRPr="004337C3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4337C3" w:rsidTr="00BC4D02">
        <w:trPr>
          <w:trHeight w:val="87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разрешение </w:t>
            </w:r>
            <w:r w:rsidRPr="004337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ввод объекта в эксплуатацию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337C3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4337C3" w:rsidTr="00BC4D02">
        <w:trPr>
          <w:trHeight w:val="1335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337C3" w:rsidTr="00BC4D02">
        <w:trPr>
          <w:trHeight w:val="13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4337C3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337C3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4337C3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F41E8" w:rsidRPr="001F41E8" w:rsidTr="001F41E8">
        <w:tc>
          <w:tcPr>
            <w:tcW w:w="4467" w:type="dxa"/>
          </w:tcPr>
          <w:p w:rsidR="001F41E8" w:rsidRPr="001F41E8" w:rsidRDefault="001F41E8" w:rsidP="001F41E8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6 </w:t>
            </w:r>
            <w:r w:rsidRPr="001F41E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4337C3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337C3" w:rsidTr="00890957">
        <w:trPr>
          <w:trHeight w:val="60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428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75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</w:t>
            </w: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личность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66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279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7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901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4337C3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4337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337C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4337C3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-ая) разрешение </w:t>
            </w:r>
            <w:r w:rsidR="00564F60" w:rsidRPr="004337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4337C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564F60" w:rsidRPr="004337C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4337C3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9137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F41E8" w:rsidRPr="001F41E8" w:rsidTr="001F41E8">
        <w:trPr>
          <w:trHeight w:val="1666"/>
        </w:trPr>
        <w:tc>
          <w:tcPr>
            <w:tcW w:w="4075" w:type="dxa"/>
          </w:tcPr>
          <w:p w:rsidR="001F41E8" w:rsidRPr="001F41E8" w:rsidRDefault="001F41E8" w:rsidP="001F41E8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lastRenderedPageBreak/>
              <w:t>ПРИЛОЖЕНИЕ № 7</w:t>
            </w:r>
          </w:p>
          <w:p w:rsidR="001F41E8" w:rsidRPr="001F41E8" w:rsidRDefault="001F41E8" w:rsidP="001F41E8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1F41E8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4337C3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4337C3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:rsidR="00564F60" w:rsidRPr="004337C3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4337C3" w:rsidTr="00BC4D02">
        <w:trPr>
          <w:trHeight w:val="87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4337C3" w:rsidTr="00BC4D02">
        <w:trPr>
          <w:trHeight w:val="1051"/>
        </w:trPr>
        <w:tc>
          <w:tcPr>
            <w:tcW w:w="1276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4337C3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4337C3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4337C3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4337C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337C3">
        <w:rPr>
          <w:rFonts w:ascii="Times New Roman" w:hAnsi="Times New Roman" w:cs="Times New Roman"/>
          <w:color w:val="000000" w:themeColor="text1"/>
          <w:sz w:val="24"/>
        </w:rPr>
        <w:t xml:space="preserve">Данный отказ может быть обжалован в досудебном порядке путем направления жалобы </w:t>
      </w:r>
      <w:r w:rsidRPr="004337C3">
        <w:rPr>
          <w:rFonts w:ascii="Times New Roman" w:hAnsi="Times New Roman" w:cs="Times New Roman"/>
          <w:color w:val="000000" w:themeColor="text1"/>
          <w:sz w:val="24"/>
        </w:rPr>
        <w:lastRenderedPageBreak/>
        <w:t>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37C3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4337C3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171F05" w:rsidRPr="00171F05" w:rsidTr="00171F05">
        <w:tc>
          <w:tcPr>
            <w:tcW w:w="10137" w:type="dxa"/>
          </w:tcPr>
          <w:p w:rsidR="00171F05" w:rsidRPr="00171F05" w:rsidRDefault="00171F05" w:rsidP="00171F05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71F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8 </w:t>
            </w:r>
            <w:r w:rsidRPr="00171F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о выдаче разрешения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337C3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337C3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4337C3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4337C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337C3" w:rsidTr="00890957">
        <w:trPr>
          <w:trHeight w:val="60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428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75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</w:t>
            </w: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личность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66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279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75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901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337C3" w:rsidTr="00890957">
        <w:trPr>
          <w:trHeight w:val="1093"/>
        </w:trPr>
        <w:tc>
          <w:tcPr>
            <w:tcW w:w="1043" w:type="dxa"/>
          </w:tcPr>
          <w:p w:rsidR="00564F60" w:rsidRPr="004337C3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4337C3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4337C3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4337C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564F60" w:rsidRPr="004337C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выдать на бумажном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на бумажном </w:t>
            </w: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носителе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90957">
        <w:tc>
          <w:tcPr>
            <w:tcW w:w="8788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4337C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5670" w:type="dxa"/>
        <w:tblLook w:val="04A0"/>
      </w:tblPr>
      <w:tblGrid>
        <w:gridCol w:w="4467"/>
      </w:tblGrid>
      <w:tr w:rsidR="00D626E2" w:rsidRPr="00D626E2" w:rsidTr="00D626E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626E2" w:rsidRPr="00D626E2" w:rsidRDefault="00D626E2" w:rsidP="00D626E2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9</w:t>
            </w: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564F60" w:rsidRPr="004337C3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64F60" w:rsidRPr="004337C3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4337C3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4337C3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4337C3">
        <w:rPr>
          <w:color w:val="000000" w:themeColor="text1"/>
          <w:sz w:val="24"/>
          <w:szCs w:val="24"/>
        </w:rPr>
        <w:t xml:space="preserve"> </w:t>
      </w: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:rsidR="00564F60" w:rsidRPr="004337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4337C3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4337C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4337C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4337C3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4337C3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337C3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337C3">
        <w:rPr>
          <w:rFonts w:ascii="Times New Roman" w:hAnsi="Times New Roman"/>
          <w:color w:val="000000" w:themeColor="text1"/>
          <w:sz w:val="24"/>
          <w:szCs w:val="24"/>
        </w:rPr>
        <w:t xml:space="preserve">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4337C3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10598" w:type="dxa"/>
        <w:tblLook w:val="04A0"/>
      </w:tblPr>
      <w:tblGrid>
        <w:gridCol w:w="4188"/>
      </w:tblGrid>
      <w:tr w:rsidR="00D626E2" w:rsidRPr="00D626E2" w:rsidTr="00D626E2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D626E2" w:rsidRPr="00D626E2" w:rsidRDefault="00D626E2" w:rsidP="00D626E2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10</w:t>
            </w:r>
            <w:r w:rsidRPr="00D626E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      </w:r>
          </w:p>
        </w:tc>
      </w:tr>
    </w:tbl>
    <w:p w:rsidR="00EC4873" w:rsidRPr="004337C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4337C3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37C3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4337C3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4337C3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4337C3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4337C3" w:rsidTr="00810866"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4337C3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4337C3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4337C3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4337C3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4337C3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4337C3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4337C3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4337C3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4337C3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1C7EF3">
        <w:trPr>
          <w:trHeight w:val="2685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337C3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4337C3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4337C3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4337C3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4337C3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Едином </w:t>
            </w:r>
            <w:proofErr w:type="gramStart"/>
            <w:r w:rsidR="00313E0E"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554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4337C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4337C3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Едином </w:t>
            </w:r>
            <w:proofErr w:type="gramStart"/>
            <w:r w:rsidR="00313E0E" w:rsidRPr="00433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портале</w:t>
            </w:r>
            <w:proofErr w:type="gramEnd"/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1A" w:rsidRDefault="005B5C1A">
      <w:pPr>
        <w:spacing w:after="0" w:line="240" w:lineRule="auto"/>
      </w:pPr>
      <w:r>
        <w:separator/>
      </w:r>
    </w:p>
  </w:endnote>
  <w:endnote w:type="continuationSeparator" w:id="0">
    <w:p w:rsidR="005B5C1A" w:rsidRDefault="005B5C1A">
      <w:pPr>
        <w:spacing w:after="0" w:line="240" w:lineRule="auto"/>
      </w:pPr>
      <w:r>
        <w:continuationSeparator/>
      </w:r>
    </w:p>
  </w:endnote>
  <w:endnote w:type="continuationNotice" w:id="1">
    <w:p w:rsidR="005B5C1A" w:rsidRDefault="005B5C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1A" w:rsidRDefault="005B5C1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>
      <w:pPr>
        <w:spacing w:after="0" w:line="240" w:lineRule="auto"/>
      </w:pPr>
      <w:r>
        <w:continuationSeparator/>
      </w:r>
    </w:p>
  </w:footnote>
  <w:footnote w:type="continuationNotice" w:id="1">
    <w:p w:rsidR="005B5C1A" w:rsidRDefault="005B5C1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1A" w:rsidRDefault="005B5C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1A" w:rsidRPr="007B2B77" w:rsidRDefault="005B5C1A">
    <w:pPr>
      <w:pStyle w:val="a6"/>
      <w:jc w:val="center"/>
      <w:rPr>
        <w:rFonts w:ascii="Times New Roman" w:hAnsi="Times New Roman"/>
        <w:sz w:val="24"/>
      </w:rPr>
    </w:pPr>
  </w:p>
  <w:p w:rsidR="005B5C1A" w:rsidRDefault="005B5C1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1F05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7A7"/>
    <w:rsid w:val="001C3F21"/>
    <w:rsid w:val="001C4AA8"/>
    <w:rsid w:val="001C4CCC"/>
    <w:rsid w:val="001C619D"/>
    <w:rsid w:val="001C61EF"/>
    <w:rsid w:val="001C6E63"/>
    <w:rsid w:val="001C7EF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1E8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71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37C3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87A88"/>
    <w:rsid w:val="00490F6E"/>
    <w:rsid w:val="0049199A"/>
    <w:rsid w:val="0049211C"/>
    <w:rsid w:val="00492243"/>
    <w:rsid w:val="0049267F"/>
    <w:rsid w:val="00492746"/>
    <w:rsid w:val="0049360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C1A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8E1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9F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D8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1A28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1B9C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47CAE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5E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281"/>
    <w:rsid w:val="00D60776"/>
    <w:rsid w:val="00D60ED8"/>
    <w:rsid w:val="00D611CB"/>
    <w:rsid w:val="00D626E2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74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7613-A001-48A2-B07A-CF42B96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54</Pages>
  <Words>18159</Words>
  <Characters>103509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Мищенко Елена</cp:lastModifiedBy>
  <cp:revision>14</cp:revision>
  <cp:lastPrinted>2022-02-04T09:06:00Z</cp:lastPrinted>
  <dcterms:created xsi:type="dcterms:W3CDTF">2022-01-21T09:30:00Z</dcterms:created>
  <dcterms:modified xsi:type="dcterms:W3CDTF">2022-02-04T09:07:00Z</dcterms:modified>
</cp:coreProperties>
</file>