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5C580A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5C580A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80A" w:rsidRPr="00EF6562" w:rsidRDefault="005C580A" w:rsidP="005C580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0A" w:rsidRDefault="00B95373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08 сентября 2020 г. </w:t>
      </w:r>
      <w:r w:rsidR="005C580A" w:rsidRPr="002F77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377</w:t>
      </w:r>
      <w:r w:rsidR="005C580A" w:rsidRPr="00924184">
        <w:rPr>
          <w:rFonts w:ascii="Times New Roman" w:hAnsi="Times New Roman" w:cs="Times New Roman"/>
          <w:sz w:val="24"/>
          <w:szCs w:val="24"/>
        </w:rPr>
        <w:t xml:space="preserve"> </w:t>
      </w:r>
      <w:r w:rsidR="005C580A" w:rsidRPr="009241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5C580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C580A" w:rsidRPr="00924184">
        <w:rPr>
          <w:rFonts w:ascii="Times New Roman" w:hAnsi="Times New Roman" w:cs="Times New Roman"/>
          <w:sz w:val="24"/>
          <w:szCs w:val="24"/>
        </w:rPr>
        <w:t>с. Калманка</w:t>
      </w: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Об оценке налоговых расходов </w:t>
      </w:r>
    </w:p>
    <w:p w:rsidR="005C580A" w:rsidRP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5C580A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C580A" w:rsidRPr="00924184" w:rsidRDefault="005C580A" w:rsidP="005C580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3D5" w:rsidRDefault="0004641A" w:rsidP="005C5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C580A">
          <w:rPr>
            <w:rFonts w:ascii="Times New Roman" w:hAnsi="Times New Roman" w:cs="Times New Roman"/>
            <w:sz w:val="28"/>
            <w:szCs w:val="28"/>
          </w:rPr>
          <w:t>статьей 174.3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 </w:t>
      </w:r>
      <w:r w:rsidR="005C580A">
        <w:rPr>
          <w:rFonts w:ascii="Times New Roman" w:hAnsi="Times New Roman" w:cs="Times New Roman"/>
          <w:sz w:val="28"/>
          <w:szCs w:val="28"/>
        </w:rPr>
        <w:t>«</w:t>
      </w:r>
      <w:r w:rsidRPr="005C580A">
        <w:rPr>
          <w:rFonts w:ascii="Times New Roman" w:hAnsi="Times New Roman" w:cs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</w:t>
      </w:r>
      <w:r w:rsidR="005C580A">
        <w:rPr>
          <w:rFonts w:ascii="Times New Roman" w:hAnsi="Times New Roman" w:cs="Times New Roman"/>
          <w:sz w:val="28"/>
          <w:szCs w:val="28"/>
        </w:rPr>
        <w:t xml:space="preserve">льных образований», </w:t>
      </w:r>
    </w:p>
    <w:p w:rsidR="005C580A" w:rsidRDefault="005C580A" w:rsidP="00710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C580A" w:rsidRDefault="00E9050A" w:rsidP="005C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 </w:t>
      </w:r>
      <w:r w:rsidR="005C580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="005C580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4641A" w:rsidRPr="005C580A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</w:t>
      </w:r>
      <w:proofErr w:type="spellStart"/>
      <w:r w:rsidR="005C580A">
        <w:rPr>
          <w:rFonts w:ascii="Times New Roman" w:hAnsi="Times New Roman" w:cs="Times New Roman"/>
          <w:sz w:val="28"/>
          <w:szCs w:val="28"/>
        </w:rPr>
        <w:t>Калманс</w:t>
      </w:r>
      <w:r w:rsidR="0004641A" w:rsidRPr="005C580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4641A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="00E22339" w:rsidRPr="005C580A">
        <w:rPr>
          <w:rFonts w:ascii="Times New Roman" w:hAnsi="Times New Roman" w:cs="Times New Roman"/>
          <w:sz w:val="28"/>
          <w:szCs w:val="28"/>
        </w:rPr>
        <w:t>района</w:t>
      </w:r>
      <w:r w:rsidR="005C580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4641A" w:rsidRPr="005C580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04641A" w:rsidRPr="005C580A" w:rsidRDefault="00E9050A" w:rsidP="005C5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2. </w:t>
      </w:r>
      <w:r w:rsidR="005C580A">
        <w:rPr>
          <w:rFonts w:ascii="Times New Roman" w:hAnsi="Times New Roman" w:cs="Times New Roman"/>
          <w:sz w:val="28"/>
          <w:szCs w:val="28"/>
        </w:rPr>
        <w:t>Утвердить</w:t>
      </w:r>
      <w:r w:rsidR="005C580A" w:rsidRPr="005C580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33" w:history="1">
        <w:r w:rsidR="005C580A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5C580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4641A" w:rsidRPr="005C580A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proofErr w:type="spellStart"/>
      <w:r w:rsidR="00727A6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727A6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4641A" w:rsidRPr="005C580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6F298B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C580A">
        <w:rPr>
          <w:rFonts w:ascii="Times New Roman" w:hAnsi="Times New Roman" w:cs="Times New Roman"/>
          <w:sz w:val="28"/>
          <w:szCs w:val="28"/>
        </w:rPr>
        <w:t>Калманс</w:t>
      </w:r>
      <w:r w:rsidRPr="005C580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C580A">
        <w:rPr>
          <w:rFonts w:ascii="Times New Roman" w:hAnsi="Times New Roman" w:cs="Times New Roman"/>
          <w:sz w:val="28"/>
          <w:szCs w:val="28"/>
        </w:rPr>
        <w:tab/>
      </w:r>
      <w:r w:rsidRPr="005C580A">
        <w:rPr>
          <w:rFonts w:ascii="Times New Roman" w:hAnsi="Times New Roman" w:cs="Times New Roman"/>
          <w:sz w:val="28"/>
          <w:szCs w:val="28"/>
        </w:rPr>
        <w:tab/>
      </w:r>
      <w:r w:rsidR="005C580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27A69">
        <w:rPr>
          <w:rFonts w:ascii="Times New Roman" w:hAnsi="Times New Roman" w:cs="Times New Roman"/>
          <w:sz w:val="28"/>
          <w:szCs w:val="28"/>
        </w:rPr>
        <w:t xml:space="preserve">       </w:t>
      </w:r>
      <w:r w:rsidR="005C580A">
        <w:rPr>
          <w:rFonts w:ascii="Times New Roman" w:hAnsi="Times New Roman" w:cs="Times New Roman"/>
          <w:sz w:val="28"/>
          <w:szCs w:val="28"/>
        </w:rPr>
        <w:t xml:space="preserve">  С.Ф. </w:t>
      </w:r>
      <w:proofErr w:type="spellStart"/>
      <w:r w:rsidR="005C580A"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ab/>
      </w:r>
      <w:r w:rsidRPr="005C580A">
        <w:rPr>
          <w:rFonts w:ascii="Times New Roman" w:hAnsi="Times New Roman" w:cs="Times New Roman"/>
          <w:sz w:val="28"/>
          <w:szCs w:val="28"/>
        </w:rPr>
        <w:tab/>
      </w:r>
      <w:r w:rsidRPr="005C580A">
        <w:rPr>
          <w:rFonts w:ascii="Times New Roman" w:hAnsi="Times New Roman" w:cs="Times New Roman"/>
          <w:sz w:val="28"/>
          <w:szCs w:val="28"/>
        </w:rPr>
        <w:tab/>
      </w: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339" w:rsidRPr="005C580A" w:rsidRDefault="00E22339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Pr="005C580A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170B5" w:rsidRDefault="00B170B5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7A69" w:rsidRPr="005C580A" w:rsidRDefault="00727A69" w:rsidP="00B170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84251" w:rsidRPr="00484251" w:rsidRDefault="00484251" w:rsidP="0048425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48425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</w:t>
      </w:r>
      <w:r w:rsidR="00087D9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D0515" w:rsidRDefault="00484251" w:rsidP="003D051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</w:t>
      </w:r>
      <w:r w:rsidR="003D051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84251" w:rsidRPr="00484251" w:rsidRDefault="003D0515" w:rsidP="003D051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4251" w:rsidRPr="00484251" w:rsidRDefault="00484251" w:rsidP="004842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373">
        <w:rPr>
          <w:rFonts w:ascii="Times New Roman" w:hAnsi="Times New Roman" w:cs="Times New Roman"/>
          <w:sz w:val="28"/>
          <w:szCs w:val="28"/>
        </w:rPr>
        <w:t xml:space="preserve">                               08 сентября 2020 г. </w:t>
      </w:r>
      <w:r w:rsidRPr="00484251">
        <w:rPr>
          <w:rFonts w:ascii="Times New Roman" w:hAnsi="Times New Roman" w:cs="Times New Roman"/>
          <w:sz w:val="28"/>
          <w:szCs w:val="28"/>
        </w:rPr>
        <w:t xml:space="preserve">  №</w:t>
      </w:r>
      <w:r w:rsidR="00B95373">
        <w:rPr>
          <w:rFonts w:ascii="Times New Roman" w:hAnsi="Times New Roman" w:cs="Times New Roman"/>
          <w:sz w:val="28"/>
          <w:szCs w:val="28"/>
        </w:rPr>
        <w:t xml:space="preserve"> 377</w:t>
      </w:r>
    </w:p>
    <w:p w:rsidR="00484251" w:rsidRPr="00484251" w:rsidRDefault="00484251" w:rsidP="0048425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105416" w:rsidRDefault="00105416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ПОРЯДОК</w:t>
      </w:r>
    </w:p>
    <w:p w:rsidR="00484251" w:rsidRDefault="00BD5EDE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05416">
        <w:rPr>
          <w:rFonts w:ascii="Times New Roman" w:hAnsi="Times New Roman" w:cs="Times New Roman"/>
          <w:sz w:val="28"/>
          <w:szCs w:val="28"/>
        </w:rPr>
        <w:t xml:space="preserve">ормирования перечня налоговых расходов </w:t>
      </w:r>
    </w:p>
    <w:p w:rsidR="0004641A" w:rsidRPr="005C580A" w:rsidRDefault="00105416" w:rsidP="00484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E22339" w:rsidRPr="005C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правила формирования и утверждения перечня налоговых расходов </w:t>
      </w:r>
      <w:proofErr w:type="spellStart"/>
      <w:r w:rsidR="00484251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42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4251">
        <w:rPr>
          <w:rFonts w:ascii="Times New Roman" w:hAnsi="Times New Roman" w:cs="Times New Roman"/>
          <w:sz w:val="28"/>
          <w:szCs w:val="28"/>
        </w:rPr>
        <w:t>края</w:t>
      </w:r>
      <w:r w:rsidR="00BE239B"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5C580A">
        <w:rPr>
          <w:rFonts w:ascii="Times New Roman" w:hAnsi="Times New Roman" w:cs="Times New Roman"/>
          <w:sz w:val="28"/>
          <w:szCs w:val="28"/>
        </w:rPr>
        <w:t xml:space="preserve">1.2. Уполномоченным органом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перечня налоговых расходов, является </w:t>
      </w:r>
      <w:r w:rsidR="00BE239B" w:rsidRPr="005C580A">
        <w:rPr>
          <w:rFonts w:ascii="Times New Roman" w:hAnsi="Times New Roman" w:cs="Times New Roman"/>
          <w:sz w:val="28"/>
          <w:szCs w:val="28"/>
        </w:rPr>
        <w:t>Комитет</w:t>
      </w:r>
      <w:r w:rsidR="003D05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BE239B" w:rsidRPr="005C580A">
        <w:rPr>
          <w:rFonts w:ascii="Times New Roman" w:hAnsi="Times New Roman" w:cs="Times New Roman"/>
          <w:sz w:val="28"/>
          <w:szCs w:val="28"/>
        </w:rPr>
        <w:t xml:space="preserve"> по финансам</w:t>
      </w:r>
      <w:r w:rsidR="008E3F52" w:rsidRPr="005C580A">
        <w:rPr>
          <w:rFonts w:ascii="Times New Roman" w:hAnsi="Times New Roman" w:cs="Times New Roman"/>
          <w:sz w:val="28"/>
          <w:szCs w:val="28"/>
        </w:rPr>
        <w:t>, налоговой и кредитной политике</w:t>
      </w:r>
      <w:r w:rsidR="00BE239B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(далее - "уполномоченный орган").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Кураторами налоговых расходов являются </w:t>
      </w:r>
      <w:r w:rsidRPr="00C83485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94C40" w:rsidRPr="00C8348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="00311A9A" w:rsidRPr="005C580A">
        <w:rPr>
          <w:rFonts w:ascii="Times New Roman" w:hAnsi="Times New Roman" w:cs="Times New Roman"/>
          <w:sz w:val="28"/>
          <w:szCs w:val="28"/>
        </w:rPr>
        <w:t>(а</w:t>
      </w:r>
      <w:r w:rsidR="00E60EF2" w:rsidRPr="005C580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11A9A" w:rsidRPr="005C580A">
        <w:rPr>
          <w:rFonts w:ascii="Times New Roman" w:hAnsi="Times New Roman" w:cs="Times New Roman"/>
          <w:sz w:val="28"/>
          <w:szCs w:val="28"/>
        </w:rPr>
        <w:t xml:space="preserve">, администрации сельских поселений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60EF2" w:rsidRPr="005C580A">
        <w:rPr>
          <w:rFonts w:ascii="Times New Roman" w:hAnsi="Times New Roman" w:cs="Times New Roman"/>
          <w:sz w:val="28"/>
          <w:szCs w:val="28"/>
        </w:rPr>
        <w:t>)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ответственные в соответствии с полномочиями, установленными нормативными правовыми актами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за достижение соответствующих налоговому расходу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и (или) целей социально-эко</w:t>
      </w:r>
      <w:r w:rsidR="00A712B5" w:rsidRPr="005C580A">
        <w:rPr>
          <w:rFonts w:ascii="Times New Roman" w:hAnsi="Times New Roman" w:cs="Times New Roman"/>
          <w:sz w:val="28"/>
          <w:szCs w:val="28"/>
        </w:rPr>
        <w:t xml:space="preserve">номической политики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края,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не относящихся к </w:t>
      </w:r>
      <w:r w:rsidR="00E60EF2" w:rsidRPr="005C58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1.3. Перечень налоговых расходов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- документ, содержащий сведения о распределении налоговых расходов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="003022BA"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3D051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3D051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D051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3D051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а также о кураторах налоговых расходов (далее - "перечень налоговых расходов").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1.4. Формирование </w:t>
      </w:r>
      <w:hyperlink w:anchor="Par67" w:history="1">
        <w:r w:rsidRPr="005C580A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налоговых расходов осуществляется уполномоченным органом по форме согласно приложению к настоящему Порядку.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46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2. Порядок формирования и утверждения перечня</w:t>
      </w:r>
    </w:p>
    <w:p w:rsidR="0004641A" w:rsidRPr="005C580A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2.1. Формирование перечня налоговых расходов проводится ежегодно до 1 октября предшествующего финансового года.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2.2. Проект перечня налоговых расходов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в заинтересованные органы исполнительной власти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5C580A">
        <w:rPr>
          <w:rFonts w:ascii="Times New Roman" w:hAnsi="Times New Roman" w:cs="Times New Roman"/>
          <w:sz w:val="28"/>
          <w:szCs w:val="28"/>
        </w:rPr>
        <w:t xml:space="preserve">2.3. Органы, указанные в </w:t>
      </w:r>
      <w:hyperlink w:anchor="Par36" w:history="1">
        <w:r w:rsidRPr="005C580A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до 20 августа рассматривают проект перечня налоговых расходов на предмет предлагаемого распределения налоговых расходов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E60EF2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и (или) целями социально-экономической политики, не относящимися к </w:t>
      </w:r>
      <w:r w:rsidR="00E60EF2" w:rsidRPr="005C58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834FE"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2F04B7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F04B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F04B7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F04B7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и определения кураторов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 направляются в уполномоченный орган.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ar46" w:history="1">
        <w:r w:rsidRPr="005C580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в уполномоченный орган в течение срока, указанного в </w:t>
      </w:r>
      <w:hyperlink w:anchor="Par46" w:history="1">
        <w:r w:rsidRPr="005C580A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5C580A">
        <w:rPr>
          <w:rFonts w:ascii="Times New Roman" w:hAnsi="Times New Roman" w:cs="Times New Roman"/>
          <w:sz w:val="28"/>
          <w:szCs w:val="28"/>
        </w:rPr>
        <w:t>2.4. При наличии разногласий по проекту перечня налоговых расходов уполномоченный орган в срок до 20 сентября обеспечивает проведение совещаний по урегулированию спорных вопросов с соответствующими органами.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2.5. По итогам завершения согласительных процедур, предусмотренных </w:t>
      </w:r>
      <w:hyperlink w:anchor="Par46" w:history="1">
        <w:r w:rsidRPr="005C580A">
          <w:rPr>
            <w:rFonts w:ascii="Times New Roman" w:hAnsi="Times New Roman" w:cs="Times New Roman"/>
            <w:sz w:val="28"/>
            <w:szCs w:val="28"/>
          </w:rPr>
          <w:t>пунктами 2.3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0" w:history="1">
        <w:r w:rsidRPr="005C580A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сформированным.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Сформированный перечень налоговых расходов утверждается приказом уполномоченного органа и размещается на официальном сайте уполномоченного органа в информационно-телекоммуникационной сети "Интернет" не позднее 1 октября текущего года.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 xml:space="preserve">2.6. В случае изменения в текущем году состава налоговых расходов </w:t>
      </w:r>
      <w:proofErr w:type="spellStart"/>
      <w:r w:rsidR="002D38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3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380F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D380F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внесения изменений в </w:t>
      </w:r>
      <w:r w:rsidR="000F3A84" w:rsidRPr="005C580A">
        <w:rPr>
          <w:rFonts w:ascii="Times New Roman" w:hAnsi="Times New Roman" w:cs="Times New Roman"/>
          <w:sz w:val="28"/>
          <w:szCs w:val="28"/>
        </w:rPr>
        <w:t>муниципальные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2D380F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D3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D380F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2D380F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 w:rsidR="000F3A84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087D9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087D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7D99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087D99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изменения полномочий исполнительных органов гос</w:t>
      </w:r>
      <w:r w:rsidR="00395BB3" w:rsidRPr="005C580A">
        <w:rPr>
          <w:rFonts w:ascii="Times New Roman" w:hAnsi="Times New Roman" w:cs="Times New Roman"/>
          <w:sz w:val="28"/>
          <w:szCs w:val="28"/>
        </w:rPr>
        <w:t xml:space="preserve">ударственной власти </w:t>
      </w:r>
      <w:proofErr w:type="spellStart"/>
      <w:r w:rsidR="00FD2F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D2F0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затрагивающих перечень налоговых расходов, кураторы в срок не позднее 10 рабочих дней с даты таких изменений направляют в уполномоченный орган информацию для уточнения перечня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предлагаемым изменениям в перечень налоговых расходов согласование осуществляется в порядке, установленном </w:t>
      </w:r>
      <w:hyperlink w:anchor="Par50" w:history="1">
        <w:r w:rsidRPr="005C580A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Перечень налоговых расходов с учетом внесенных изменений размещается на официальном сайте уполномоченного органа в информационно-телекоммуникационной сети "Интернет" в течение 15 рабочих дней с даты их получения (устранения разногласий).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D99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D99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D99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7D99" w:rsidRPr="005C580A" w:rsidRDefault="00087D99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D1E" w:rsidRPr="005C580A" w:rsidRDefault="00895D1E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5D1E" w:rsidRPr="005C580A" w:rsidRDefault="00895D1E" w:rsidP="00AA293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95D1E" w:rsidRPr="005C580A" w:rsidRDefault="00895D1E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C4D" w:rsidRDefault="00087D99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D2F0C" w:rsidRDefault="00FD2F0C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E60C4D" w:rsidRDefault="00E60C4D" w:rsidP="00087D9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E145A" w:rsidRDefault="00DE145A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3B81" w:rsidRPr="00484251" w:rsidRDefault="001478BC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3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81" w:rsidRPr="00484251">
        <w:rPr>
          <w:rFonts w:ascii="Times New Roman" w:hAnsi="Times New Roman" w:cs="Times New Roman"/>
          <w:sz w:val="28"/>
          <w:szCs w:val="28"/>
        </w:rPr>
        <w:t>Приложение</w:t>
      </w:r>
      <w:r w:rsidR="009D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8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Порядку формирования перечня </w:t>
      </w:r>
    </w:p>
    <w:p w:rsidR="009D3B8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налоговых расходов </w:t>
      </w:r>
    </w:p>
    <w:p w:rsidR="009D3B8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9D3B81" w:rsidRPr="0048425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46E1" w:rsidRDefault="00B246E1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D3B81" w:rsidRPr="005C580A" w:rsidRDefault="009D3B81" w:rsidP="009D3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ПЕРЕЧЕНЬ</w:t>
      </w:r>
    </w:p>
    <w:p w:rsidR="00B246E1" w:rsidRDefault="009D3B81" w:rsidP="009D3B8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 </w:t>
      </w:r>
      <w:r w:rsidR="001441FA">
        <w:rPr>
          <w:rFonts w:ascii="Times New Roman" w:hAnsi="Times New Roman" w:cs="Times New Roman"/>
          <w:sz w:val="28"/>
          <w:szCs w:val="28"/>
        </w:rPr>
        <w:t>____________</w:t>
      </w:r>
    </w:p>
    <w:p w:rsidR="00B246E1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1091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655"/>
        <w:gridCol w:w="656"/>
        <w:gridCol w:w="655"/>
        <w:gridCol w:w="656"/>
        <w:gridCol w:w="656"/>
        <w:gridCol w:w="655"/>
        <w:gridCol w:w="656"/>
        <w:gridCol w:w="656"/>
        <w:gridCol w:w="655"/>
        <w:gridCol w:w="656"/>
        <w:gridCol w:w="655"/>
        <w:gridCol w:w="656"/>
        <w:gridCol w:w="656"/>
        <w:gridCol w:w="655"/>
        <w:gridCol w:w="656"/>
        <w:gridCol w:w="656"/>
      </w:tblGrid>
      <w:tr w:rsidR="009D3B81" w:rsidRPr="00831154" w:rsidTr="00831154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правово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акт</w:t>
            </w:r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Алтайск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ого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края,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устанав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ливающ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налогов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ую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льготу,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освобож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дение</w:t>
            </w:r>
            <w:proofErr w:type="spellEnd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префер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енцию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(статья,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часть,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пункт,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подпунк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т)</w:t>
            </w:r>
          </w:p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тавлен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льготы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ждения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префе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ренции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(налог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ового</w:t>
            </w:r>
            <w:proofErr w:type="spellEnd"/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</w:t>
            </w:r>
          </w:p>
          <w:p w:rsidR="009D3B81" w:rsidRPr="00831154" w:rsidRDefault="009D3B81" w:rsidP="0083115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54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5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831154" w:rsidRDefault="009D3B81" w:rsidP="008311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1154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налоговой льготы, освобождения, преференция (налогового расхода)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программы/ направления социально-экономической политики</w:t>
            </w:r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 Алтайского края, целям которой (-ого) соответствует налоговый расход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Цель государственной программы/направления социально-экономической политики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Алтайского края, целям которой (-ого) соответствует налоговый расход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Задачи государственной программы/ направления социально-экономической политики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Алтайского края, целям которой (-ого) соответствует налоговый расход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структурного элемента (подпрограммы) государственной программы </w:t>
            </w:r>
            <w:proofErr w:type="spellStart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Калманского</w:t>
            </w:r>
            <w:proofErr w:type="spellEnd"/>
            <w:r w:rsidR="00906D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Алтайского края, целям которого соответствует налоговый расход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государственной программы (подпрограммы) / направления социально-экономической политики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B81" w:rsidRPr="009D3B81" w:rsidRDefault="009D3B81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B81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831154" w:rsidTr="00B246E1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17</w:t>
            </w:r>
          </w:p>
        </w:tc>
      </w:tr>
      <w:tr w:rsidR="00831154" w:rsidRPr="00171A5F" w:rsidTr="00B246E1">
        <w:trPr>
          <w:trHeight w:val="2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154" w:rsidRPr="00831154" w:rsidRDefault="00831154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B246E1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6E1" w:rsidRDefault="00B246E1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246E1" w:rsidRDefault="00B246E1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478BC" w:rsidRPr="00484251" w:rsidRDefault="009D6F32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14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478BC">
        <w:rPr>
          <w:rFonts w:ascii="Times New Roman" w:hAnsi="Times New Roman" w:cs="Times New Roman"/>
          <w:sz w:val="28"/>
          <w:szCs w:val="28"/>
        </w:rPr>
        <w:t xml:space="preserve">  </w:t>
      </w:r>
      <w:r w:rsidR="001478BC" w:rsidRPr="00484251">
        <w:rPr>
          <w:rFonts w:ascii="Times New Roman" w:hAnsi="Times New Roman" w:cs="Times New Roman"/>
          <w:sz w:val="28"/>
          <w:szCs w:val="28"/>
        </w:rPr>
        <w:t>Приложение</w:t>
      </w:r>
      <w:r w:rsidR="001478B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78BC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1478BC" w:rsidRPr="00484251" w:rsidRDefault="001478BC" w:rsidP="001478B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478BC" w:rsidRPr="00484251" w:rsidRDefault="001478BC" w:rsidP="001478B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95373">
        <w:rPr>
          <w:rFonts w:ascii="Times New Roman" w:hAnsi="Times New Roman" w:cs="Times New Roman"/>
          <w:sz w:val="28"/>
          <w:szCs w:val="28"/>
        </w:rPr>
        <w:t xml:space="preserve">08 сентября 2020 г. </w:t>
      </w:r>
      <w:r w:rsidRPr="00484251">
        <w:rPr>
          <w:rFonts w:ascii="Times New Roman" w:hAnsi="Times New Roman" w:cs="Times New Roman"/>
          <w:sz w:val="28"/>
          <w:szCs w:val="28"/>
        </w:rPr>
        <w:t>№</w:t>
      </w:r>
      <w:r w:rsidR="00B95373">
        <w:rPr>
          <w:rFonts w:ascii="Times New Roman" w:hAnsi="Times New Roman" w:cs="Times New Roman"/>
          <w:sz w:val="28"/>
          <w:szCs w:val="28"/>
        </w:rPr>
        <w:t xml:space="preserve"> 377</w:t>
      </w:r>
    </w:p>
    <w:p w:rsidR="0004641A" w:rsidRPr="005C580A" w:rsidRDefault="00FD3372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1A" w:rsidRPr="005C580A" w:rsidRDefault="0004641A" w:rsidP="001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33"/>
      <w:bookmarkEnd w:id="5"/>
      <w:r w:rsidRPr="005C580A">
        <w:rPr>
          <w:rFonts w:ascii="Times New Roman" w:hAnsi="Times New Roman" w:cs="Times New Roman"/>
          <w:sz w:val="28"/>
          <w:szCs w:val="28"/>
        </w:rPr>
        <w:t>ПОРЯДОК</w:t>
      </w:r>
    </w:p>
    <w:p w:rsidR="001478BC" w:rsidRDefault="00FD2F0C" w:rsidP="001478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D2F0C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2F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D2F0C">
        <w:rPr>
          <w:rFonts w:ascii="Times New Roman" w:hAnsi="Times New Roman" w:cs="Times New Roman"/>
          <w:sz w:val="28"/>
          <w:szCs w:val="28"/>
        </w:rPr>
        <w:t>края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0C" w:rsidRDefault="00FD2F0C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FD2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проведения оценки налоговых расходов</w:t>
      </w:r>
      <w:r w:rsidR="00FA36EA"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(далее - "оценка налоговых расходов").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1.2. Понятия, используемые в настоящем Порядке, означают следующее: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"оценка налоговых расходов"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"оценка объемов налоговых расходов" - определение объемов выпадающих доходов бюджета, обусловленных льготами, предоставленными плательщикам;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"оценка эффективности налоговых расходов"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"социальные налоговые расходы" - целевая категория налоговых расходов, обусловленных необходимостью обеспечения социальной защиты (поддержки) населения;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"стимулирующие налоговые расходы"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"технические налоговые расходы"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"нормативные характеристики налоговых расходов" - сведения о положениях нормативных правовых актов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"льготы"), наименованиях налогов, по которым установлены </w:t>
      </w:r>
      <w:r w:rsidRPr="005C580A">
        <w:rPr>
          <w:rFonts w:ascii="Times New Roman" w:hAnsi="Times New Roman" w:cs="Times New Roman"/>
          <w:sz w:val="28"/>
          <w:szCs w:val="28"/>
        </w:rPr>
        <w:lastRenderedPageBreak/>
        <w:t xml:space="preserve">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"фискальные характеристики налоговых расходов"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налоговых расходов"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1.3. Формирование информации о нормативных, целевых и фискальных характеристиках налоговых расходов осуществляется уполномоченным органом на основании информации, представленной кураторами налоговых расходов </w:t>
      </w:r>
      <w:r w:rsidR="00F60311" w:rsidRPr="005C580A">
        <w:rPr>
          <w:rFonts w:ascii="Times New Roman" w:hAnsi="Times New Roman" w:cs="Times New Roman"/>
          <w:sz w:val="28"/>
          <w:szCs w:val="28"/>
        </w:rPr>
        <w:t>и межрайонной</w:t>
      </w:r>
      <w:r w:rsidR="00175AC2" w:rsidRPr="005C580A">
        <w:rPr>
          <w:rFonts w:ascii="Times New Roman" w:hAnsi="Times New Roman" w:cs="Times New Roman"/>
          <w:sz w:val="28"/>
          <w:szCs w:val="28"/>
        </w:rPr>
        <w:t xml:space="preserve"> ИФНС России №1</w:t>
      </w:r>
      <w:r w:rsidR="001478BC">
        <w:rPr>
          <w:rFonts w:ascii="Times New Roman" w:hAnsi="Times New Roman" w:cs="Times New Roman"/>
          <w:sz w:val="28"/>
          <w:szCs w:val="28"/>
        </w:rPr>
        <w:t>0</w:t>
      </w:r>
      <w:r w:rsidR="00175AC2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представляют указанную информацию по форме согласно </w:t>
      </w:r>
      <w:hyperlink w:anchor="Par248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1.4. Оценка налоговых расходов осуществляется кураторами налоговых расходов в соответствии с настоящим Порядком с соблюдением общих </w:t>
      </w:r>
      <w:hyperlink r:id="rId10" w:history="1">
        <w:r w:rsidRPr="005C580A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C580A">
        <w:rPr>
          <w:rFonts w:ascii="Times New Roman" w:hAnsi="Times New Roman" w:cs="Times New Roman"/>
          <w:sz w:val="28"/>
          <w:szCs w:val="28"/>
        </w:rPr>
        <w:t>, установленных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"постановление Правительства Российской Федерации от 22.06.2019 N 796").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1.5. Обобщение результатов оценки эффективности налоговых расходов осуществляет уполномоченный орган на основании сведений, представленных кураторами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1.6. В целях оценки налоговых расходов </w:t>
      </w:r>
      <w:r w:rsidR="00175AC2" w:rsidRPr="005C580A">
        <w:rPr>
          <w:rFonts w:ascii="Times New Roman" w:hAnsi="Times New Roman" w:cs="Times New Roman"/>
          <w:sz w:val="28"/>
          <w:szCs w:val="28"/>
        </w:rPr>
        <w:t>межрайонная И</w:t>
      </w:r>
      <w:r w:rsidRPr="005C580A">
        <w:rPr>
          <w:rFonts w:ascii="Times New Roman" w:hAnsi="Times New Roman" w:cs="Times New Roman"/>
          <w:sz w:val="28"/>
          <w:szCs w:val="28"/>
        </w:rPr>
        <w:t>ФНС</w:t>
      </w:r>
      <w:r w:rsidR="00175AC2" w:rsidRPr="005C580A">
        <w:rPr>
          <w:rFonts w:ascii="Times New Roman" w:hAnsi="Times New Roman" w:cs="Times New Roman"/>
          <w:sz w:val="28"/>
          <w:szCs w:val="28"/>
        </w:rPr>
        <w:t xml:space="preserve"> России №1</w:t>
      </w:r>
      <w:r w:rsidR="001478BC">
        <w:rPr>
          <w:rFonts w:ascii="Times New Roman" w:hAnsi="Times New Roman" w:cs="Times New Roman"/>
          <w:sz w:val="28"/>
          <w:szCs w:val="28"/>
        </w:rPr>
        <w:t>0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в соответствии с </w:t>
      </w:r>
      <w:hyperlink r:id="rId11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770CE5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 представляет в уполномоченный орган информацию о фискальных характеристиках налоговых расходов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за отчетный финансовый год, а также информацию о стимулирующих налоговых расходах </w:t>
      </w:r>
      <w:proofErr w:type="spellStart"/>
      <w:r w:rsidR="001478B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1478B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1478BC">
        <w:rPr>
          <w:rFonts w:ascii="Times New Roman" w:hAnsi="Times New Roman" w:cs="Times New Roman"/>
          <w:sz w:val="28"/>
          <w:szCs w:val="28"/>
        </w:rPr>
        <w:t>края</w:t>
      </w:r>
      <w:r w:rsidR="001478BC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за 6 лет, предшествующих отчетному финансовому году.</w:t>
      </w:r>
    </w:p>
    <w:p w:rsidR="00D1269C" w:rsidRPr="005C580A" w:rsidRDefault="00D1269C" w:rsidP="000464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2. Порядок проведения оценки эффективности</w:t>
      </w: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налоговых расходов (налоговых льгот)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8F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по предоставленным налоговым льготам проводится ежегодно не позднее 1 августа текущего года.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2.2. В целях проведения оценки эффективности налоговых расходов: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а) уполномоченный орган в срок до 1 февраля направляет </w:t>
      </w:r>
      <w:r w:rsidR="008F0148" w:rsidRPr="005C580A">
        <w:rPr>
          <w:rFonts w:ascii="Times New Roman" w:hAnsi="Times New Roman" w:cs="Times New Roman"/>
          <w:sz w:val="28"/>
          <w:szCs w:val="28"/>
        </w:rPr>
        <w:t>в межрайонную ИФНС России №1</w:t>
      </w:r>
      <w:r w:rsidR="001478BC">
        <w:rPr>
          <w:rFonts w:ascii="Times New Roman" w:hAnsi="Times New Roman" w:cs="Times New Roman"/>
          <w:sz w:val="28"/>
          <w:szCs w:val="28"/>
        </w:rPr>
        <w:t>0</w:t>
      </w:r>
      <w:r w:rsidR="008F0148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 xml:space="preserve">сведения о категориях плательщиков с указанием обусловливающих соответствующие налоговые расходы нормативных правовых актов </w:t>
      </w:r>
      <w:proofErr w:type="spellStart"/>
      <w:r w:rsidR="00FD2F0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F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D2F0C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D2F0C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r:id="rId12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</w:t>
      </w:r>
      <w:r w:rsidR="001B2EDE" w:rsidRPr="005C580A">
        <w:rPr>
          <w:rFonts w:ascii="Times New Roman" w:hAnsi="Times New Roman" w:cs="Times New Roman"/>
          <w:sz w:val="28"/>
          <w:szCs w:val="28"/>
        </w:rPr>
        <w:t>ийской Федерации от 22.06.2019 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б) </w:t>
      </w:r>
      <w:r w:rsidR="008F0148" w:rsidRPr="005C580A">
        <w:rPr>
          <w:rFonts w:ascii="Times New Roman" w:hAnsi="Times New Roman" w:cs="Times New Roman"/>
          <w:sz w:val="28"/>
          <w:szCs w:val="28"/>
        </w:rPr>
        <w:t>межрайонная ИФНС России №1</w:t>
      </w:r>
      <w:r w:rsidR="006C47A5">
        <w:rPr>
          <w:rFonts w:ascii="Times New Roman" w:hAnsi="Times New Roman" w:cs="Times New Roman"/>
          <w:sz w:val="28"/>
          <w:szCs w:val="28"/>
        </w:rPr>
        <w:t>0</w:t>
      </w:r>
      <w:r w:rsidR="008F0148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B2EDE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 в срок до 1 апреля направляет в уполномоченный орган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 в соответствии с </w:t>
      </w:r>
      <w:hyperlink w:anchor="Par248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содержащие в том числе: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сведения о количестве плательщиков, воспользовавшихся льготами;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proofErr w:type="spellStart"/>
      <w:r w:rsidR="006828E6" w:rsidRPr="00C8348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828E6" w:rsidRPr="00C834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83485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6828E6" w:rsidRPr="00C83485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сведения об объемах налогов, задекларированных для уплаты плательщиками в консо</w:t>
      </w:r>
      <w:r w:rsidR="009D34DE" w:rsidRPr="005C580A">
        <w:rPr>
          <w:rFonts w:ascii="Times New Roman" w:hAnsi="Times New Roman" w:cs="Times New Roman"/>
          <w:sz w:val="28"/>
          <w:szCs w:val="28"/>
        </w:rPr>
        <w:t xml:space="preserve">лидированный бюджет </w:t>
      </w:r>
      <w:proofErr w:type="spellStart"/>
      <w:r w:rsidR="006C47A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6C47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47A5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6C47A5">
        <w:rPr>
          <w:rFonts w:ascii="Times New Roman" w:hAnsi="Times New Roman" w:cs="Times New Roman"/>
          <w:sz w:val="28"/>
          <w:szCs w:val="28"/>
        </w:rPr>
        <w:t>края</w:t>
      </w:r>
      <w:r w:rsidR="006C47A5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по каждому налоговому расходу, в отношении стимулирующих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в) уполномоченный орган в срок до 10 апреля доводит полученную от</w:t>
      </w:r>
      <w:r w:rsidR="009D34DE" w:rsidRPr="005C580A">
        <w:rPr>
          <w:rFonts w:ascii="Times New Roman" w:hAnsi="Times New Roman" w:cs="Times New Roman"/>
          <w:sz w:val="28"/>
          <w:szCs w:val="28"/>
        </w:rPr>
        <w:t xml:space="preserve"> межрайонной ИФНС России №1</w:t>
      </w:r>
      <w:r w:rsidR="006C47A5">
        <w:rPr>
          <w:rFonts w:ascii="Times New Roman" w:hAnsi="Times New Roman" w:cs="Times New Roman"/>
          <w:sz w:val="28"/>
          <w:szCs w:val="28"/>
        </w:rPr>
        <w:t>0</w:t>
      </w:r>
      <w:r w:rsidR="009D34DE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информацию до кураторов налоговых расходов в пределах их компетенции;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г) кураторы налоговых расходов в срок до 15 мая представляют в уполномоченный орган уточненную оценку налоговых расходов за год, предшествующий отчетному году, а также прогнозную (предварительную) оценку за отчетный год;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>) уполномоченный орган в срок до 1</w:t>
      </w:r>
      <w:r w:rsidR="006C47A5">
        <w:rPr>
          <w:rFonts w:ascii="Times New Roman" w:hAnsi="Times New Roman" w:cs="Times New Roman"/>
          <w:sz w:val="28"/>
          <w:szCs w:val="28"/>
        </w:rPr>
        <w:t>0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июня представляет в Министерство финансов </w:t>
      </w:r>
      <w:r w:rsidR="00744A81" w:rsidRPr="005C580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данные для оценки эффективност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B2EDE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е) </w:t>
      </w:r>
      <w:r w:rsidR="00744A81" w:rsidRPr="005C580A">
        <w:rPr>
          <w:rFonts w:ascii="Times New Roman" w:hAnsi="Times New Roman" w:cs="Times New Roman"/>
          <w:sz w:val="28"/>
          <w:szCs w:val="28"/>
        </w:rPr>
        <w:t>межрайонная ИФНС России №1</w:t>
      </w:r>
      <w:r w:rsidR="004872D2">
        <w:rPr>
          <w:rFonts w:ascii="Times New Roman" w:hAnsi="Times New Roman" w:cs="Times New Roman"/>
          <w:sz w:val="28"/>
          <w:szCs w:val="28"/>
        </w:rPr>
        <w:t>0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5C58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</w:t>
      </w:r>
      <w:r w:rsidR="001B2EDE" w:rsidRPr="005C580A">
        <w:rPr>
          <w:rFonts w:ascii="Times New Roman" w:hAnsi="Times New Roman" w:cs="Times New Roman"/>
          <w:sz w:val="28"/>
          <w:szCs w:val="28"/>
        </w:rPr>
        <w:t>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 направляет до 15 июля в уполномоченный орган сведения об объеме льгот за отчетный финансовый год, а также по стимулирующим налоговым расходам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обусловленным льготами по налогу на </w:t>
      </w:r>
      <w:r w:rsidRPr="005C580A">
        <w:rPr>
          <w:rFonts w:ascii="Times New Roman" w:hAnsi="Times New Roman" w:cs="Times New Roman"/>
          <w:sz w:val="28"/>
          <w:szCs w:val="28"/>
        </w:rPr>
        <w:lastRenderedPageBreak/>
        <w:t>прибыль организаций и налогу на имущество организаций, сведения о налогах, задекларированных для уплаты плательщиками, имеющими право на льготы в отчетном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ж) уполномоченный орган в срок до 18 июля доводит полученную от </w:t>
      </w:r>
      <w:r w:rsidR="00744A81" w:rsidRPr="005C580A">
        <w:rPr>
          <w:rFonts w:ascii="Times New Roman" w:hAnsi="Times New Roman" w:cs="Times New Roman"/>
          <w:sz w:val="28"/>
          <w:szCs w:val="28"/>
        </w:rPr>
        <w:t>меж</w:t>
      </w:r>
      <w:r w:rsidR="00155F4A" w:rsidRPr="005C580A">
        <w:rPr>
          <w:rFonts w:ascii="Times New Roman" w:hAnsi="Times New Roman" w:cs="Times New Roman"/>
          <w:sz w:val="28"/>
          <w:szCs w:val="28"/>
        </w:rPr>
        <w:t>районной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 ИФНС России №1</w:t>
      </w:r>
      <w:r w:rsidR="004872D2">
        <w:rPr>
          <w:rFonts w:ascii="Times New Roman" w:hAnsi="Times New Roman" w:cs="Times New Roman"/>
          <w:sz w:val="28"/>
          <w:szCs w:val="28"/>
        </w:rPr>
        <w:t>0</w:t>
      </w:r>
      <w:r w:rsidR="00744A81" w:rsidRPr="005C580A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Pr="005C580A">
        <w:rPr>
          <w:rFonts w:ascii="Times New Roman" w:hAnsi="Times New Roman" w:cs="Times New Roman"/>
          <w:sz w:val="28"/>
          <w:szCs w:val="28"/>
        </w:rPr>
        <w:t>информацию за отчетный финансовый год до кураторов налоговых расходов в пределах их компетенции;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>) кураторы налоговых расходов в срок до 24 июля представляют в уполномоченный орган оценку налоговых расходов за отчетный год;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и) уполномоченный орган в срок до 1 августа формирует оценку эффективности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 основе данных, представленных кураторами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к) уполномоченный орган до 20 августа представляет в Министерство финансов </w:t>
      </w:r>
      <w:r w:rsidR="00155F4A" w:rsidRPr="005C580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результаты оценки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при необходимости уточненную информацию согласно </w:t>
      </w:r>
      <w:hyperlink r:id="rId16" w:history="1">
        <w:r w:rsidRPr="005C580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Российской Федерации от 22.06.2019</w:t>
      </w:r>
      <w:r w:rsidR="001B2EDE" w:rsidRPr="005C580A">
        <w:rPr>
          <w:rFonts w:ascii="Times New Roman" w:hAnsi="Times New Roman" w:cs="Times New Roman"/>
          <w:sz w:val="28"/>
          <w:szCs w:val="28"/>
        </w:rPr>
        <w:t xml:space="preserve"> №</w:t>
      </w:r>
      <w:r w:rsidRPr="005C580A">
        <w:rPr>
          <w:rFonts w:ascii="Times New Roman" w:hAnsi="Times New Roman" w:cs="Times New Roman"/>
          <w:sz w:val="28"/>
          <w:szCs w:val="28"/>
        </w:rPr>
        <w:t xml:space="preserve"> 796;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л) информацию о результатах оценки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</w:t>
      </w:r>
      <w:r w:rsidR="00F6031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60311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60311">
        <w:rPr>
          <w:rFonts w:ascii="Times New Roman" w:hAnsi="Times New Roman" w:cs="Times New Roman"/>
          <w:sz w:val="28"/>
          <w:szCs w:val="28"/>
        </w:rPr>
        <w:t>края,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уполномоченный орган размещает на официальном сайте</w:t>
      </w:r>
      <w:r w:rsidR="00B643ED" w:rsidRPr="005C580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C58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до 1 октября.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76"/>
      <w:bookmarkEnd w:id="6"/>
      <w:r w:rsidRPr="005C580A">
        <w:rPr>
          <w:rFonts w:ascii="Times New Roman" w:hAnsi="Times New Roman" w:cs="Times New Roman"/>
          <w:sz w:val="28"/>
          <w:szCs w:val="28"/>
        </w:rPr>
        <w:t>3. Критерии оценки эффективности налоговых расходов</w:t>
      </w:r>
    </w:p>
    <w:p w:rsidR="0004641A" w:rsidRPr="005C580A" w:rsidRDefault="0004641A" w:rsidP="00487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(налоговых льгот)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3.1. Оценка эффективности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осуществляется кураторами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и включает: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а) оценку целесообразности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2"/>
      <w:bookmarkEnd w:id="7"/>
      <w:r w:rsidRPr="005C580A">
        <w:rPr>
          <w:rFonts w:ascii="Times New Roman" w:hAnsi="Times New Roman" w:cs="Times New Roman"/>
          <w:sz w:val="28"/>
          <w:szCs w:val="28"/>
        </w:rPr>
        <w:t>3.2. Критериями целесообразности налоговых расходов являются: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программ, структурным элементам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и (или) целям социально-экономической политики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lastRenderedPageBreak/>
        <w:t>востребованность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Под общим количеством плательщиков понимается количество плательщиков, потенциально имеющих право на получение данной льготы. Общее количество определяется куратором налогового расхода на основании информации налоговых органов, статистических данных, информации, находящейся в распоряжении кураторов, иных сведений.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Льгота считается востребованной, если можно определить ее количественную и (или) качественную оценку.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Пороговым значением, при котором льгота считается востребованной, является наличие фактического количества плательщиков, воспользовавшихся налоговой льготой.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пороговое значение равно нулю, но наличие льготы необходимо для выполнения определенных </w:t>
      </w:r>
      <w:r w:rsidR="00A74D21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или направлено на достижение целей социально-экономического развития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куратор налогового расхода может применить иной дополнительный показатель 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>, который он должен отразить при формировании выводов по результатам оценки эффективности налогового расхода.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3.3. В случае несоответствия налоговых расходов хотя бы одному из критериев, указанных в </w:t>
      </w:r>
      <w:hyperlink w:anchor="Par182" w:history="1">
        <w:r w:rsidRPr="005C580A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надлежит представить в уполномоченный орган предложения о сохранении (уточнении, отмене) льгот для плательщиков.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3.4.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Алтайского </w:t>
      </w:r>
      <w:r w:rsidR="00E3160C" w:rsidRPr="005C580A">
        <w:rPr>
          <w:rFonts w:ascii="Times New Roman" w:hAnsi="Times New Roman" w:cs="Times New Roman"/>
          <w:sz w:val="28"/>
          <w:szCs w:val="28"/>
        </w:rPr>
        <w:t>района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4872D2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872D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872D2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872D2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. Показатель (индикатор)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="00E3160C"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отражается куратором налогового расхода при формировании выводов по результатам оценки эффективности налогового расхода.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3.5. Оценке подлежит вклад предусмотренных для плательщиков льгот в изменение значения показателя (индикатора)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C580A">
        <w:rPr>
          <w:rFonts w:ascii="Times New Roman" w:hAnsi="Times New Roman" w:cs="Times New Roman"/>
          <w:sz w:val="28"/>
          <w:szCs w:val="28"/>
        </w:rPr>
        <w:lastRenderedPageBreak/>
        <w:t>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3.6. Оценка результативности налоговых расходов включает оценку бюджетной эффективности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3.7. В целях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политики, не относящихся к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5C580A">
        <w:rPr>
          <w:rFonts w:ascii="Times New Roman" w:hAnsi="Times New Roman" w:cs="Times New Roman"/>
          <w:sz w:val="28"/>
          <w:szCs w:val="28"/>
        </w:rPr>
        <w:t xml:space="preserve">3.8. Сравнительный анализ включает сравнение объемов расходов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5513EF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</w:t>
      </w:r>
      <w:r w:rsidR="00E3160C" w:rsidRPr="005C580A">
        <w:rPr>
          <w:rFonts w:ascii="Times New Roman" w:hAnsi="Times New Roman" w:cs="Times New Roman"/>
          <w:sz w:val="28"/>
          <w:szCs w:val="28"/>
        </w:rPr>
        <w:t xml:space="preserve">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механизмов).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программам, могут учитываться в том числе: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льготы, за счет средств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б) предоставление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3.9. В целях оценки бюджетной эффективности стимулирующих налоговых расходов, обусловленных льготами, по </w:t>
      </w:r>
      <w:r w:rsidR="00DE2A02"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5C580A">
        <w:rPr>
          <w:rFonts w:ascii="Times New Roman" w:hAnsi="Times New Roman" w:cs="Times New Roman"/>
          <w:sz w:val="28"/>
          <w:szCs w:val="28"/>
        </w:rPr>
        <w:t>налогу</w:t>
      </w:r>
      <w:r w:rsidR="00DE2A02">
        <w:rPr>
          <w:rFonts w:ascii="Times New Roman" w:hAnsi="Times New Roman" w:cs="Times New Roman"/>
          <w:sz w:val="28"/>
          <w:szCs w:val="28"/>
        </w:rPr>
        <w:t xml:space="preserve"> и налогу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DE2A02">
        <w:rPr>
          <w:rFonts w:ascii="Times New Roman" w:hAnsi="Times New Roman" w:cs="Times New Roman"/>
          <w:sz w:val="28"/>
          <w:szCs w:val="28"/>
        </w:rPr>
        <w:lastRenderedPageBreak/>
        <w:t>физических лиц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наряду со сравнительным анализом, указанным в </w:t>
      </w:r>
      <w:hyperlink w:anchor="Par194" w:history="1">
        <w:r w:rsidRPr="005C580A">
          <w:rPr>
            <w:rFonts w:ascii="Times New Roman" w:hAnsi="Times New Roman" w:cs="Times New Roman"/>
            <w:sz w:val="28"/>
            <w:szCs w:val="28"/>
          </w:rPr>
          <w:t>пункте 3.8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 в соответствии с </w:t>
      </w:r>
      <w:hyperlink w:anchor="Par201" w:history="1">
        <w:r w:rsidRPr="005C580A">
          <w:rPr>
            <w:rFonts w:ascii="Times New Roman" w:hAnsi="Times New Roman" w:cs="Times New Roman"/>
            <w:sz w:val="28"/>
            <w:szCs w:val="28"/>
          </w:rPr>
          <w:t>пунктом 3.10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 w:rsidRPr="005C580A">
        <w:rPr>
          <w:rFonts w:ascii="Times New Roman" w:hAnsi="Times New Roman" w:cs="Times New Roman"/>
          <w:sz w:val="28"/>
          <w:szCs w:val="28"/>
        </w:rPr>
        <w:t>3.10.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noProof/>
          <w:position w:val="-25"/>
          <w:sz w:val="28"/>
          <w:szCs w:val="28"/>
        </w:rPr>
        <w:drawing>
          <wp:inline distT="0" distB="0" distL="0" distR="0">
            <wp:extent cx="1968500" cy="444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580A">
        <w:rPr>
          <w:rFonts w:ascii="Times New Roman" w:hAnsi="Times New Roman" w:cs="Times New Roman"/>
          <w:sz w:val="28"/>
          <w:szCs w:val="28"/>
        </w:rPr>
        <w:t>,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где: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порядковый номер года, имеющий значение от 1 до 5;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m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>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N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j-м плательщиком в i-м году.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При определении объема налогов, задекларированных для уплаты в консолидированный бюджет </w:t>
      </w:r>
      <w:r w:rsidR="005B559D" w:rsidRPr="005C580A">
        <w:rPr>
          <w:rFonts w:ascii="Times New Roman" w:hAnsi="Times New Roman" w:cs="Times New Roman"/>
          <w:sz w:val="28"/>
          <w:szCs w:val="28"/>
        </w:rPr>
        <w:t>района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 по </w:t>
      </w:r>
      <w:r w:rsidRPr="00C83485">
        <w:rPr>
          <w:rFonts w:ascii="Times New Roman" w:hAnsi="Times New Roman" w:cs="Times New Roman"/>
          <w:sz w:val="28"/>
          <w:szCs w:val="28"/>
        </w:rPr>
        <w:t xml:space="preserve">налогу на имущество </w:t>
      </w:r>
      <w:r w:rsidR="00DE2A02" w:rsidRPr="00C83485">
        <w:rPr>
          <w:rFonts w:ascii="Times New Roman" w:hAnsi="Times New Roman" w:cs="Times New Roman"/>
          <w:sz w:val="28"/>
          <w:szCs w:val="28"/>
        </w:rPr>
        <w:t>физических лиц</w:t>
      </w:r>
      <w:r w:rsidR="00094C40" w:rsidRPr="00C83485">
        <w:rPr>
          <w:rFonts w:ascii="Times New Roman" w:hAnsi="Times New Roman" w:cs="Times New Roman"/>
          <w:sz w:val="28"/>
          <w:szCs w:val="28"/>
        </w:rPr>
        <w:t xml:space="preserve"> и </w:t>
      </w:r>
      <w:r w:rsidR="00DE2A02" w:rsidRPr="00C83485">
        <w:rPr>
          <w:rFonts w:ascii="Times New Roman" w:hAnsi="Times New Roman" w:cs="Times New Roman"/>
          <w:sz w:val="28"/>
          <w:szCs w:val="28"/>
        </w:rPr>
        <w:t>земельно</w:t>
      </w:r>
      <w:r w:rsidRPr="00C83485">
        <w:rPr>
          <w:rFonts w:ascii="Times New Roman" w:hAnsi="Times New Roman" w:cs="Times New Roman"/>
          <w:sz w:val="28"/>
          <w:szCs w:val="28"/>
        </w:rPr>
        <w:t>му налогу.</w:t>
      </w:r>
      <w:bookmarkStart w:id="10" w:name="_GoBack"/>
      <w:bookmarkEnd w:id="10"/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кураторов налоговых расходов;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lastRenderedPageBreak/>
        <w:t>B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g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налоговых доходов консолидированных бюджетов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 xml:space="preserve">в i-м году по отношению к показателям базового года (определяется Министерством финансов </w:t>
      </w:r>
      <w:r w:rsidR="00D225E8" w:rsidRPr="005C580A">
        <w:rPr>
          <w:rFonts w:ascii="Times New Roman" w:hAnsi="Times New Roman" w:cs="Times New Roman"/>
          <w:sz w:val="28"/>
          <w:szCs w:val="28"/>
        </w:rPr>
        <w:t>Алтайского 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доводится до </w:t>
      </w:r>
      <w:r w:rsidR="00D225E8" w:rsidRPr="005C58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не позднее 1 мая текущего финансового года в соответствии </w:t>
      </w:r>
      <w:r w:rsidRPr="00F6031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8" w:history="1">
        <w:r w:rsidRPr="00F6031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C58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22.06.2019 N 796);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расчетная стоимость среднесрочных рыночных заимствований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, рассчитываемая по формуле: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i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>,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где: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i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целевой уровень инфляции (4 процента);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реальная процентная ставка, определяемая на уровне 2,5 процента;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80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- кредитная премия за риск, рассчитываемая для целей настоящего Порядка в зависимости от отношения государственного долга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к доходам (без учета безвозмездных поступлений) за отчетный период: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а) если указанное отношение составляет менее 50 процентов, кредитная премия за риск принимается равной 1 проценту;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б) если указанное отношение составляет от 50 до 100 процентов, кредитная премия за риск принимается равной 2 процентам;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в) если указанное отношение составляет более 100 процентов, кредитная премия за риск принимается равной 3 процентам.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3.11. Базовый объем налогов, задекларированных для уплаты в консолидированный бюджет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60311">
        <w:rPr>
          <w:rFonts w:ascii="Times New Roman" w:hAnsi="Times New Roman" w:cs="Times New Roman"/>
          <w:sz w:val="28"/>
          <w:szCs w:val="28"/>
        </w:rPr>
        <w:t>края</w:t>
      </w:r>
      <w:r w:rsidR="00F60311" w:rsidRPr="005C580A">
        <w:rPr>
          <w:rFonts w:ascii="Times New Roman" w:hAnsi="Times New Roman" w:cs="Times New Roman"/>
          <w:sz w:val="28"/>
          <w:szCs w:val="28"/>
        </w:rPr>
        <w:t xml:space="preserve"> j</w:t>
      </w:r>
      <w:r w:rsidRPr="005C580A">
        <w:rPr>
          <w:rFonts w:ascii="Times New Roman" w:hAnsi="Times New Roman" w:cs="Times New Roman"/>
          <w:sz w:val="28"/>
          <w:szCs w:val="28"/>
        </w:rPr>
        <w:t>-м плательщиком в базовом году (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B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B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= N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+ L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>,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где: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N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конс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олидированный бюджет </w:t>
      </w:r>
      <w:proofErr w:type="spellStart"/>
      <w:r w:rsidR="00DE1A2C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DE1A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60311">
        <w:rPr>
          <w:rFonts w:ascii="Times New Roman" w:hAnsi="Times New Roman" w:cs="Times New Roman"/>
          <w:sz w:val="28"/>
          <w:szCs w:val="28"/>
        </w:rPr>
        <w:t>кр</w:t>
      </w:r>
      <w:r w:rsidR="00F60311" w:rsidRPr="005C580A">
        <w:rPr>
          <w:rFonts w:ascii="Times New Roman" w:hAnsi="Times New Roman" w:cs="Times New Roman"/>
          <w:sz w:val="28"/>
          <w:szCs w:val="28"/>
        </w:rPr>
        <w:t>а</w:t>
      </w:r>
      <w:r w:rsidR="00F60311">
        <w:rPr>
          <w:rFonts w:ascii="Times New Roman" w:hAnsi="Times New Roman" w:cs="Times New Roman"/>
          <w:sz w:val="28"/>
          <w:szCs w:val="28"/>
        </w:rPr>
        <w:t>я</w:t>
      </w:r>
      <w:r w:rsidR="00F60311" w:rsidRPr="005C580A">
        <w:rPr>
          <w:rFonts w:ascii="Times New Roman" w:hAnsi="Times New Roman" w:cs="Times New Roman"/>
          <w:sz w:val="28"/>
          <w:szCs w:val="28"/>
        </w:rPr>
        <w:t xml:space="preserve"> j</w:t>
      </w:r>
      <w:r w:rsidRPr="005C580A">
        <w:rPr>
          <w:rFonts w:ascii="Times New Roman" w:hAnsi="Times New Roman" w:cs="Times New Roman"/>
          <w:sz w:val="28"/>
          <w:szCs w:val="28"/>
        </w:rPr>
        <w:t>-м плательщиком в базовом году;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lastRenderedPageBreak/>
        <w:t>L</w:t>
      </w:r>
      <w:r w:rsidRPr="005C580A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5C580A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</w:t>
      </w:r>
      <w:proofErr w:type="spellStart"/>
      <w:r w:rsidRPr="005C580A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Pr="005C580A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Под базовым годом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3.12. По итогам оценки эффективности налогового расхода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вкладе налогового расхода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в достижение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C580A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C580A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о наличии или об отсутствии более результативных (менее затратных) для бюджета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муниципальной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муниципальным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3.13. Уполномоченный орган формирует итоговую оценку эффективности налоговых расходов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="00046C09" w:rsidRPr="005C580A">
        <w:rPr>
          <w:rFonts w:ascii="Times New Roman" w:hAnsi="Times New Roman" w:cs="Times New Roman"/>
          <w:sz w:val="28"/>
          <w:szCs w:val="28"/>
        </w:rPr>
        <w:t xml:space="preserve"> </w:t>
      </w:r>
      <w:r w:rsidRPr="005C580A">
        <w:rPr>
          <w:rFonts w:ascii="Times New Roman" w:hAnsi="Times New Roman" w:cs="Times New Roman"/>
          <w:sz w:val="28"/>
          <w:szCs w:val="28"/>
        </w:rPr>
        <w:t>на основе данных, представленных кураторами налоговых расходов.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По результатам итоговой оценки эффективности налоговых расходов уполномоченный орган готовит отчет об оценке налоговых расходов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Результаты оценки налоговых расходов учитываются при формировании основных направлений бюджетной и налоговой политики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770FA6" w:rsidRPr="005C580A">
        <w:rPr>
          <w:rFonts w:ascii="Times New Roman" w:hAnsi="Times New Roman" w:cs="Times New Roman"/>
          <w:sz w:val="28"/>
          <w:szCs w:val="28"/>
        </w:rPr>
        <w:t>муниципальных</w:t>
      </w:r>
      <w:r w:rsidRPr="005C580A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5B01E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5B0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01E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5B01E4">
        <w:rPr>
          <w:rFonts w:ascii="Times New Roman" w:hAnsi="Times New Roman" w:cs="Times New Roman"/>
          <w:sz w:val="28"/>
          <w:szCs w:val="28"/>
        </w:rPr>
        <w:t>края</w:t>
      </w:r>
      <w:r w:rsidRPr="005C580A">
        <w:rPr>
          <w:rFonts w:ascii="Times New Roman" w:hAnsi="Times New Roman" w:cs="Times New Roman"/>
          <w:sz w:val="28"/>
          <w:szCs w:val="28"/>
        </w:rPr>
        <w:t>.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FA" w:rsidRDefault="001441F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1FA" w:rsidRPr="005C580A" w:rsidRDefault="001441F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D25" w:rsidRPr="005C580A" w:rsidRDefault="001D1D25" w:rsidP="0004641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3BA4" w:rsidRPr="00484251" w:rsidRDefault="00C43BA4" w:rsidP="00C43B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Pr="00484251">
        <w:rPr>
          <w:rFonts w:ascii="Times New Roman" w:hAnsi="Times New Roman" w:cs="Times New Roman"/>
          <w:sz w:val="28"/>
          <w:szCs w:val="28"/>
        </w:rPr>
        <w:t>Приложение</w:t>
      </w:r>
    </w:p>
    <w:p w:rsidR="00C43BA4" w:rsidRDefault="00C43BA4" w:rsidP="00C43B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C43BA4" w:rsidRPr="00484251" w:rsidRDefault="00C43BA4" w:rsidP="00C43BA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641A" w:rsidRPr="005C580A" w:rsidRDefault="00C43BA4" w:rsidP="00C4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95373">
        <w:rPr>
          <w:rFonts w:ascii="Times New Roman" w:hAnsi="Times New Roman" w:cs="Times New Roman"/>
          <w:sz w:val="28"/>
          <w:szCs w:val="28"/>
        </w:rPr>
        <w:t xml:space="preserve">08 сентября 2020 г. </w:t>
      </w:r>
      <w:r w:rsidRPr="00484251">
        <w:rPr>
          <w:rFonts w:ascii="Times New Roman" w:hAnsi="Times New Roman" w:cs="Times New Roman"/>
          <w:sz w:val="28"/>
          <w:szCs w:val="28"/>
        </w:rPr>
        <w:t xml:space="preserve"> №</w:t>
      </w:r>
      <w:r w:rsidR="00B95373">
        <w:rPr>
          <w:rFonts w:ascii="Times New Roman" w:hAnsi="Times New Roman" w:cs="Times New Roman"/>
          <w:sz w:val="28"/>
          <w:szCs w:val="28"/>
        </w:rPr>
        <w:t xml:space="preserve"> 377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48"/>
      <w:bookmarkEnd w:id="11"/>
      <w:r w:rsidRPr="005C580A">
        <w:rPr>
          <w:rFonts w:ascii="Times New Roman" w:hAnsi="Times New Roman" w:cs="Times New Roman"/>
          <w:sz w:val="28"/>
          <w:szCs w:val="28"/>
        </w:rPr>
        <w:t>ОЦЕНКА</w:t>
      </w:r>
    </w:p>
    <w:p w:rsidR="0004641A" w:rsidRPr="005C580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proofErr w:type="spellStart"/>
      <w:r w:rsidR="00C43BA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C43B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43BA4" w:rsidRPr="005C580A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C43BA4">
        <w:rPr>
          <w:rFonts w:ascii="Times New Roman" w:hAnsi="Times New Roman" w:cs="Times New Roman"/>
          <w:sz w:val="28"/>
          <w:szCs w:val="28"/>
        </w:rPr>
        <w:t>края</w:t>
      </w:r>
    </w:p>
    <w:p w:rsidR="0004641A" w:rsidRDefault="0004641A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80A">
        <w:rPr>
          <w:rFonts w:ascii="Times New Roman" w:hAnsi="Times New Roman" w:cs="Times New Roman"/>
          <w:sz w:val="28"/>
          <w:szCs w:val="28"/>
        </w:rPr>
        <w:t>на __________</w:t>
      </w:r>
      <w:r w:rsidR="001441FA">
        <w:rPr>
          <w:rFonts w:ascii="Times New Roman" w:hAnsi="Times New Roman" w:cs="Times New Roman"/>
          <w:sz w:val="28"/>
          <w:szCs w:val="28"/>
        </w:rPr>
        <w:t>___</w:t>
      </w:r>
    </w:p>
    <w:p w:rsidR="00C43BA4" w:rsidRPr="005C580A" w:rsidRDefault="00C43BA4" w:rsidP="00046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"/>
        <w:gridCol w:w="709"/>
        <w:gridCol w:w="709"/>
        <w:gridCol w:w="709"/>
        <w:gridCol w:w="567"/>
        <w:gridCol w:w="850"/>
        <w:gridCol w:w="709"/>
        <w:gridCol w:w="567"/>
        <w:gridCol w:w="567"/>
        <w:gridCol w:w="709"/>
        <w:gridCol w:w="567"/>
        <w:gridCol w:w="567"/>
        <w:gridCol w:w="567"/>
        <w:gridCol w:w="708"/>
        <w:gridCol w:w="567"/>
        <w:gridCol w:w="567"/>
        <w:gridCol w:w="709"/>
        <w:gridCol w:w="452"/>
        <w:gridCol w:w="257"/>
      </w:tblGrid>
      <w:tr w:rsidR="00825146" w:rsidRPr="009D3B81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46" w:rsidRPr="00831154" w:rsidRDefault="00825146" w:rsidP="00415C4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05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146" w:rsidRPr="001441FA" w:rsidRDefault="00825146" w:rsidP="00825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уполномоченного органа </w:t>
            </w:r>
            <w:proofErr w:type="spellStart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</w:tr>
      <w:tr w:rsidR="00C94C4D" w:rsidRPr="009D3B81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D" w:rsidRPr="00831154" w:rsidRDefault="00C94C4D" w:rsidP="00415C4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5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D" w:rsidRPr="00C94C4D" w:rsidRDefault="00C94C4D" w:rsidP="00C94C4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Нормативные характеристики налоговых расходов </w:t>
            </w:r>
            <w:proofErr w:type="spellStart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C4D" w:rsidRPr="009D3B81" w:rsidRDefault="00C94C4D" w:rsidP="00C94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94C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Целевые характеристики налоговых расходов </w:t>
            </w:r>
            <w:proofErr w:type="spellStart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 w:rsidRP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</w:tc>
      </w:tr>
      <w:tr w:rsidR="00252053" w:rsidRPr="009D3B81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831154" w:rsidRDefault="00252053" w:rsidP="00415C40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края, устанавливающий налоговую льготу, освобождение, преференцию (статья, часть, пункт, подпункт)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нормативно-правового акта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края, устанавливающего льготу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Целевая категория плательщиков для которых предусмотрены налоговые льготы  , освобождения, преференции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044D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Дата вступления в силу положений нормативно-правового акта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района Алтайского края,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устанавивающего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льготы, освобождения, преференции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44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началадействия</w:t>
            </w:r>
            <w:proofErr w:type="spellEnd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налоговую льготу, освобождение, преференцию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Период действия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Цель предоставления налоговой льготы, освобождения, преференции (налогового расхода)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F2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Вид налоговой льготы,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F23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Размер налоговой ставки, в пределах которой  предоставляются налоговые льготы, освобождения и иных преференций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(индикатор) в связи с предоставлением налоговых льгот, освобождений и иных </w:t>
            </w:r>
            <w:proofErr w:type="spellStart"/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пренференций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Код ОКВЭД, к которому относится налоговый расход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053" w:rsidRPr="00A02F34" w:rsidRDefault="00252053" w:rsidP="0041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F34">
              <w:rPr>
                <w:rFonts w:ascii="Times New Roman" w:hAnsi="Times New Roman" w:cs="Times New Roman"/>
                <w:sz w:val="20"/>
                <w:szCs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№670</w:t>
            </w:r>
          </w:p>
        </w:tc>
      </w:tr>
      <w:tr w:rsidR="007A6D52" w:rsidRPr="00831154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115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D52" w:rsidRPr="00831154" w:rsidRDefault="007A6D52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1441FA" w:rsidRPr="00831154" w:rsidTr="00727A69">
        <w:trPr>
          <w:trHeight w:val="2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1FA" w:rsidRPr="00831154" w:rsidRDefault="001441FA" w:rsidP="00415C4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C94C4D" w:rsidRDefault="00C94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</w:t>
      </w:r>
    </w:p>
    <w:tbl>
      <w:tblPr>
        <w:tblW w:w="1105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26"/>
        <w:gridCol w:w="425"/>
        <w:gridCol w:w="425"/>
        <w:gridCol w:w="426"/>
        <w:gridCol w:w="141"/>
        <w:gridCol w:w="284"/>
        <w:gridCol w:w="709"/>
        <w:gridCol w:w="1134"/>
        <w:gridCol w:w="425"/>
        <w:gridCol w:w="425"/>
        <w:gridCol w:w="284"/>
        <w:gridCol w:w="425"/>
        <w:gridCol w:w="283"/>
        <w:gridCol w:w="142"/>
        <w:gridCol w:w="284"/>
        <w:gridCol w:w="425"/>
        <w:gridCol w:w="425"/>
        <w:gridCol w:w="425"/>
        <w:gridCol w:w="426"/>
        <w:gridCol w:w="283"/>
        <w:gridCol w:w="284"/>
        <w:gridCol w:w="425"/>
        <w:gridCol w:w="567"/>
        <w:gridCol w:w="560"/>
        <w:gridCol w:w="574"/>
      </w:tblGrid>
      <w:tr w:rsidR="001E5565" w:rsidRPr="009D3B81" w:rsidTr="00A70A14">
        <w:trPr>
          <w:trHeight w:val="235"/>
        </w:trPr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1441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данным 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Межрайонной И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Алтайскому краю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sz w:val="20"/>
                <w:szCs w:val="20"/>
              </w:rPr>
              <w:t>Оценка и прогноз уполномоченного органа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данным 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Межрайонной И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Алтайскому краю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sz w:val="20"/>
                <w:szCs w:val="20"/>
              </w:rPr>
              <w:t>Оценка и прогноз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Межрайонной И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ФНС России</w:t>
            </w:r>
            <w:r w:rsidR="00144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№10 </w:t>
            </w:r>
            <w:r w:rsidR="001441FA"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Алтайскому краю</w:t>
            </w:r>
            <w:r w:rsidRPr="006750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кураторов налоговых органов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67504C" w:rsidRDefault="001E5565" w:rsidP="0041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04C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 на основании данных кураторов налоговых расходов</w:t>
            </w:r>
          </w:p>
        </w:tc>
      </w:tr>
      <w:tr w:rsidR="001E5565" w:rsidRPr="009D3B81" w:rsidTr="00A70A14">
        <w:trPr>
          <w:trHeight w:val="235"/>
        </w:trPr>
        <w:tc>
          <w:tcPr>
            <w:tcW w:w="11057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47CE" w:rsidRDefault="001E5565" w:rsidP="00675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7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A047CE">
              <w:rPr>
                <w:rFonts w:ascii="Times New Roman" w:hAnsi="Times New Roman" w:cs="Times New Roman"/>
                <w:sz w:val="20"/>
                <w:szCs w:val="20"/>
              </w:rPr>
              <w:t xml:space="preserve">. Фискальные характеристики налоговых расходов </w:t>
            </w:r>
            <w:proofErr w:type="spellStart"/>
            <w:r w:rsidR="001441FA">
              <w:rPr>
                <w:rFonts w:ascii="Times New Roman" w:hAnsi="Times New Roman" w:cs="Times New Roman"/>
                <w:sz w:val="20"/>
                <w:szCs w:val="20"/>
              </w:rPr>
              <w:t>Калманского</w:t>
            </w:r>
            <w:proofErr w:type="spellEnd"/>
            <w:r w:rsidR="001441FA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r w:rsidRPr="00A047CE">
              <w:rPr>
                <w:rFonts w:ascii="Times New Roman" w:hAnsi="Times New Roman" w:cs="Times New Roman"/>
                <w:sz w:val="20"/>
                <w:szCs w:val="20"/>
              </w:rPr>
              <w:t>Алтайского края</w:t>
            </w:r>
          </w:p>
        </w:tc>
      </w:tr>
      <w:tr w:rsidR="001E5565" w:rsidRPr="00831154" w:rsidTr="00A70A14">
        <w:trPr>
          <w:trHeight w:val="235"/>
        </w:trPr>
        <w:tc>
          <w:tcPr>
            <w:tcW w:w="25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A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Обьем</w:t>
            </w:r>
            <w:proofErr w:type="spellEnd"/>
            <w:r w:rsidRPr="00A02F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налоговых льгот, освобождений и иных преференций (тыс.руб.)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плательщиков налогов и сборов, воспользовавшихся налоговой льготой, освобожде</w:t>
            </w:r>
            <w:r w:rsidR="00E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нием и иной преференцией (</w:t>
            </w:r>
            <w:proofErr w:type="spellStart"/>
            <w:r w:rsidR="00E41F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A02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Базовый 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плательщиками налогов, имеющим право на налоговые льготы, освобождения и иные преференции (тыс.руб.) </w:t>
            </w:r>
          </w:p>
        </w:tc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плательщиками налогов, имеющими право на налоговые льготы, освобождения и иные преференции, за 6 лет, предшествующих отчетному финансовому году (тыс.руб.)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56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Объем налогов, задекларированный для уплаты в консолидированный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 Алтайского края плательщиками налогов, имеющими право на налоговые льготы, освобождения и иные преференции (тыс.руб.)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565" w:rsidRPr="00A02F34" w:rsidRDefault="001E556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оценки эффективности налогового расхода</w:t>
            </w:r>
          </w:p>
        </w:tc>
      </w:tr>
      <w:tr w:rsidR="00E41FF5" w:rsidRPr="00831154" w:rsidTr="00A70A14">
        <w:trPr>
          <w:trHeight w:val="341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AE1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финансовый год (прогноз)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00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год (год предшествующий получению льготы)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финансовый год (прогноз)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(прогноз)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BB4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 планового периода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прогоноз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предшествующий отчетному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415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эффективность налоговой льготы (да/нет)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2F34" w:rsidRDefault="00E41FF5" w:rsidP="00E41F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эффективность налоговой льготы (комментарии)</w:t>
            </w:r>
          </w:p>
        </w:tc>
      </w:tr>
      <w:tr w:rsidR="00E41FF5" w:rsidRPr="00831154" w:rsidTr="00A70A14">
        <w:trPr>
          <w:trHeight w:val="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3173CC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E41FF5" w:rsidRPr="00831154" w:rsidTr="00A70A14">
        <w:trPr>
          <w:trHeight w:val="23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FF5" w:rsidRPr="00A047CE" w:rsidRDefault="00E41FF5" w:rsidP="00456B5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FF5" w:rsidRPr="00A047CE" w:rsidRDefault="00E41FF5" w:rsidP="00415C4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88012D" w:rsidRPr="005C580A" w:rsidRDefault="0088012D" w:rsidP="0088012D">
      <w:pPr>
        <w:pStyle w:val="Default"/>
        <w:rPr>
          <w:sz w:val="28"/>
          <w:szCs w:val="28"/>
        </w:rPr>
      </w:pPr>
    </w:p>
    <w:sectPr w:rsidR="0088012D" w:rsidRPr="005C580A" w:rsidSect="008E4838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B88" w:rsidRDefault="00622B88" w:rsidP="00E60C4D">
      <w:pPr>
        <w:spacing w:after="0" w:line="240" w:lineRule="auto"/>
      </w:pPr>
      <w:r>
        <w:separator/>
      </w:r>
    </w:p>
  </w:endnote>
  <w:endnote w:type="continuationSeparator" w:id="0">
    <w:p w:rsidR="00622B88" w:rsidRDefault="00622B88" w:rsidP="00E60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B88" w:rsidRDefault="00622B88" w:rsidP="00E60C4D">
      <w:pPr>
        <w:spacing w:after="0" w:line="240" w:lineRule="auto"/>
      </w:pPr>
      <w:r>
        <w:separator/>
      </w:r>
    </w:p>
  </w:footnote>
  <w:footnote w:type="continuationSeparator" w:id="0">
    <w:p w:rsidR="00622B88" w:rsidRDefault="00622B88" w:rsidP="00E60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636"/>
    <w:multiLevelType w:val="hybridMultilevel"/>
    <w:tmpl w:val="BD18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580F"/>
    <w:multiLevelType w:val="hybridMultilevel"/>
    <w:tmpl w:val="BD18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641A"/>
    <w:rsid w:val="00000F7F"/>
    <w:rsid w:val="00006AE3"/>
    <w:rsid w:val="000213C4"/>
    <w:rsid w:val="00023D05"/>
    <w:rsid w:val="00044D14"/>
    <w:rsid w:val="0004641A"/>
    <w:rsid w:val="00046C09"/>
    <w:rsid w:val="00047166"/>
    <w:rsid w:val="000537A6"/>
    <w:rsid w:val="00087D99"/>
    <w:rsid w:val="00090BB8"/>
    <w:rsid w:val="00091102"/>
    <w:rsid w:val="00094C40"/>
    <w:rsid w:val="000B073C"/>
    <w:rsid w:val="000C1351"/>
    <w:rsid w:val="000C5A16"/>
    <w:rsid w:val="000F3A84"/>
    <w:rsid w:val="00105416"/>
    <w:rsid w:val="001441FA"/>
    <w:rsid w:val="001478BC"/>
    <w:rsid w:val="00155F4A"/>
    <w:rsid w:val="00175AC2"/>
    <w:rsid w:val="00181279"/>
    <w:rsid w:val="001B133E"/>
    <w:rsid w:val="001B2EDE"/>
    <w:rsid w:val="001D1D25"/>
    <w:rsid w:val="001E4D10"/>
    <w:rsid w:val="001E5565"/>
    <w:rsid w:val="00236696"/>
    <w:rsid w:val="00252053"/>
    <w:rsid w:val="00296C9D"/>
    <w:rsid w:val="002D380F"/>
    <w:rsid w:val="002E25C2"/>
    <w:rsid w:val="002E4C68"/>
    <w:rsid w:val="002F04B7"/>
    <w:rsid w:val="003022BA"/>
    <w:rsid w:val="00311A9A"/>
    <w:rsid w:val="003173CC"/>
    <w:rsid w:val="003217EC"/>
    <w:rsid w:val="003271AE"/>
    <w:rsid w:val="00350344"/>
    <w:rsid w:val="00354499"/>
    <w:rsid w:val="00365A0D"/>
    <w:rsid w:val="0037486E"/>
    <w:rsid w:val="0038763B"/>
    <w:rsid w:val="00395BB3"/>
    <w:rsid w:val="003B25AA"/>
    <w:rsid w:val="003D0515"/>
    <w:rsid w:val="00410A12"/>
    <w:rsid w:val="0041766B"/>
    <w:rsid w:val="00444EDC"/>
    <w:rsid w:val="00456B5C"/>
    <w:rsid w:val="00470C7A"/>
    <w:rsid w:val="00484251"/>
    <w:rsid w:val="004872D2"/>
    <w:rsid w:val="004A194C"/>
    <w:rsid w:val="004B166F"/>
    <w:rsid w:val="004B63C9"/>
    <w:rsid w:val="004C50B5"/>
    <w:rsid w:val="004D1A79"/>
    <w:rsid w:val="004F23D4"/>
    <w:rsid w:val="0052371A"/>
    <w:rsid w:val="005265B9"/>
    <w:rsid w:val="0053128D"/>
    <w:rsid w:val="005513EF"/>
    <w:rsid w:val="005751E1"/>
    <w:rsid w:val="00584D0D"/>
    <w:rsid w:val="005B01E4"/>
    <w:rsid w:val="005B559D"/>
    <w:rsid w:val="005C580A"/>
    <w:rsid w:val="00622B88"/>
    <w:rsid w:val="00666CF0"/>
    <w:rsid w:val="00670D40"/>
    <w:rsid w:val="0067504C"/>
    <w:rsid w:val="006828E6"/>
    <w:rsid w:val="00695C7C"/>
    <w:rsid w:val="006977E9"/>
    <w:rsid w:val="006B08F5"/>
    <w:rsid w:val="006C47A5"/>
    <w:rsid w:val="006E57B4"/>
    <w:rsid w:val="006F0859"/>
    <w:rsid w:val="006F298B"/>
    <w:rsid w:val="007103D5"/>
    <w:rsid w:val="00727A69"/>
    <w:rsid w:val="007422EA"/>
    <w:rsid w:val="00744A81"/>
    <w:rsid w:val="00746E28"/>
    <w:rsid w:val="00752936"/>
    <w:rsid w:val="00770CE5"/>
    <w:rsid w:val="00770FA6"/>
    <w:rsid w:val="00780AD7"/>
    <w:rsid w:val="007A2F50"/>
    <w:rsid w:val="007A3A61"/>
    <w:rsid w:val="007A6D52"/>
    <w:rsid w:val="007B2BC3"/>
    <w:rsid w:val="007B4D80"/>
    <w:rsid w:val="007F4F46"/>
    <w:rsid w:val="008112DA"/>
    <w:rsid w:val="00811B7A"/>
    <w:rsid w:val="00825146"/>
    <w:rsid w:val="00831154"/>
    <w:rsid w:val="008311C0"/>
    <w:rsid w:val="008711FE"/>
    <w:rsid w:val="0088012D"/>
    <w:rsid w:val="00895D1E"/>
    <w:rsid w:val="008D2A18"/>
    <w:rsid w:val="008E3F52"/>
    <w:rsid w:val="008E4838"/>
    <w:rsid w:val="008F0148"/>
    <w:rsid w:val="0090013B"/>
    <w:rsid w:val="00904EB6"/>
    <w:rsid w:val="00906D6A"/>
    <w:rsid w:val="0093470A"/>
    <w:rsid w:val="0094402B"/>
    <w:rsid w:val="0095513C"/>
    <w:rsid w:val="009A1F01"/>
    <w:rsid w:val="009D34DE"/>
    <w:rsid w:val="009D3B81"/>
    <w:rsid w:val="009D6F32"/>
    <w:rsid w:val="00A02F34"/>
    <w:rsid w:val="00A047CE"/>
    <w:rsid w:val="00A20B27"/>
    <w:rsid w:val="00A37A91"/>
    <w:rsid w:val="00A45E90"/>
    <w:rsid w:val="00A626B2"/>
    <w:rsid w:val="00A64D03"/>
    <w:rsid w:val="00A66E94"/>
    <w:rsid w:val="00A70A14"/>
    <w:rsid w:val="00A712B5"/>
    <w:rsid w:val="00A74D21"/>
    <w:rsid w:val="00A9611F"/>
    <w:rsid w:val="00AA293F"/>
    <w:rsid w:val="00AE085A"/>
    <w:rsid w:val="00AE19DE"/>
    <w:rsid w:val="00AF7595"/>
    <w:rsid w:val="00B00EB6"/>
    <w:rsid w:val="00B170B5"/>
    <w:rsid w:val="00B20975"/>
    <w:rsid w:val="00B246E1"/>
    <w:rsid w:val="00B3302C"/>
    <w:rsid w:val="00B35CE5"/>
    <w:rsid w:val="00B500E0"/>
    <w:rsid w:val="00B643ED"/>
    <w:rsid w:val="00B64CAC"/>
    <w:rsid w:val="00B7148C"/>
    <w:rsid w:val="00B95373"/>
    <w:rsid w:val="00B95753"/>
    <w:rsid w:val="00BB43BA"/>
    <w:rsid w:val="00BB5C85"/>
    <w:rsid w:val="00BC3AF6"/>
    <w:rsid w:val="00BD5EDE"/>
    <w:rsid w:val="00BE239B"/>
    <w:rsid w:val="00C2717C"/>
    <w:rsid w:val="00C43BA4"/>
    <w:rsid w:val="00C51CAD"/>
    <w:rsid w:val="00C54571"/>
    <w:rsid w:val="00C83485"/>
    <w:rsid w:val="00C834FE"/>
    <w:rsid w:val="00C94C4D"/>
    <w:rsid w:val="00CB451F"/>
    <w:rsid w:val="00CC6039"/>
    <w:rsid w:val="00D019B7"/>
    <w:rsid w:val="00D0604D"/>
    <w:rsid w:val="00D10549"/>
    <w:rsid w:val="00D1269C"/>
    <w:rsid w:val="00D217BD"/>
    <w:rsid w:val="00D225E8"/>
    <w:rsid w:val="00D51F45"/>
    <w:rsid w:val="00D94694"/>
    <w:rsid w:val="00DA58D1"/>
    <w:rsid w:val="00DA7978"/>
    <w:rsid w:val="00DD4E40"/>
    <w:rsid w:val="00DE145A"/>
    <w:rsid w:val="00DE1A2C"/>
    <w:rsid w:val="00DE2A02"/>
    <w:rsid w:val="00DE65D8"/>
    <w:rsid w:val="00E22339"/>
    <w:rsid w:val="00E253E4"/>
    <w:rsid w:val="00E278AE"/>
    <w:rsid w:val="00E3160C"/>
    <w:rsid w:val="00E41FF5"/>
    <w:rsid w:val="00E51160"/>
    <w:rsid w:val="00E60C4D"/>
    <w:rsid w:val="00E60EF2"/>
    <w:rsid w:val="00E772FC"/>
    <w:rsid w:val="00E77F50"/>
    <w:rsid w:val="00E9050A"/>
    <w:rsid w:val="00EA31C9"/>
    <w:rsid w:val="00EA62A2"/>
    <w:rsid w:val="00EB3AC9"/>
    <w:rsid w:val="00EC0998"/>
    <w:rsid w:val="00EC313D"/>
    <w:rsid w:val="00ED58AF"/>
    <w:rsid w:val="00ED6421"/>
    <w:rsid w:val="00EF3E70"/>
    <w:rsid w:val="00F23EE9"/>
    <w:rsid w:val="00F31483"/>
    <w:rsid w:val="00F60311"/>
    <w:rsid w:val="00F754FF"/>
    <w:rsid w:val="00F920CA"/>
    <w:rsid w:val="00FA36EA"/>
    <w:rsid w:val="00FA3EA5"/>
    <w:rsid w:val="00FD048D"/>
    <w:rsid w:val="00FD2F0C"/>
    <w:rsid w:val="00FD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4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B559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">
    <w:name w:val="Без интервала1"/>
    <w:rsid w:val="005B55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5B559D"/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EB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0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C5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842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60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0C4D"/>
  </w:style>
  <w:style w:type="paragraph" w:styleId="a8">
    <w:name w:val="footer"/>
    <w:basedOn w:val="a"/>
    <w:link w:val="a9"/>
    <w:uiPriority w:val="99"/>
    <w:unhideWhenUsed/>
    <w:rsid w:val="00B24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6E1"/>
  </w:style>
  <w:style w:type="paragraph" w:styleId="aa">
    <w:name w:val="List Paragraph"/>
    <w:basedOn w:val="a"/>
    <w:uiPriority w:val="34"/>
    <w:qFormat/>
    <w:rsid w:val="00C9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E35A937C85AC6112678DBD20E12E4973A000967B84C3A7C6FB412316AC4D77DF867FD6D1E901E5C5B8B019B4D56426225253E4B255RA3DC" TargetMode="External"/><Relationship Id="rId13" Type="http://schemas.openxmlformats.org/officeDocument/2006/relationships/hyperlink" Target="consultantplus://offline/ref=E2E35A937C85AC6112678DBD20E12E4973A101957A8CC3A7C6FB412316AC4D77CD8627DFD7EE18EF93F7F64CB8RD3DC" TargetMode="External"/><Relationship Id="rId18" Type="http://schemas.openxmlformats.org/officeDocument/2006/relationships/hyperlink" Target="consultantplus://offline/ref=E2E35A937C85AC6112678DBD20E12E4973A101957A8CC3A7C6FB412316AC4D77CD8627DFD7EE18EF93F7F64CB8RD3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E35A937C85AC6112678DBD20E12E4973A101957A8CC3A7C6FB412316AC4D77DF867FD3D6EF06EE98E2A01DFD816839224E4CE4AC56A48DRD3DC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E35A937C85AC6112678DBD20E12E4973A101957A8CC3A7C6FB412316AC4D77DF867FD3D6EF06EE98E2A01DFD816839224E4CE4AC56A48DRD3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E35A937C85AC6112678DBD20E12E4973A101957A8CC3A7C6FB412316AC4D77CD8627DFD7EE18EF93F7F64CB8RD3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E35A937C85AC6112678DBD20E12E4973A101957A8CC3A7C6FB412316AC4D77CD8627DFD7EE18EF93F7F64CB8RD3DC" TargetMode="External"/><Relationship Id="rId10" Type="http://schemas.openxmlformats.org/officeDocument/2006/relationships/hyperlink" Target="consultantplus://offline/ref=E2E35A937C85AC6112678DBD20E12E4973A101957A8CC3A7C6FB412316AC4D77DF867FD3D6EF06EE98E2A01DFD816839224E4CE4AC56A48DRD3D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E35A937C85AC6112678DBD20E12E4973A101957A8CC3A7C6FB412316AC4D77DF867FD3D6EF06EC95E2A01DFD816839224E4CE4AC56A48DRD3DC" TargetMode="External"/><Relationship Id="rId14" Type="http://schemas.openxmlformats.org/officeDocument/2006/relationships/hyperlink" Target="consultantplus://offline/ref=E2E35A937C85AC6112678DBD20E12E4973A101957A8CC3A7C6FB412316AC4D77CD8627DFD7EE18EF93F7F64CB8RD3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DB15-FC74-4DC5-A3C6-93E16698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</dc:creator>
  <cp:lastModifiedBy>Михайлова Наталья</cp:lastModifiedBy>
  <cp:revision>3</cp:revision>
  <cp:lastPrinted>2020-09-07T03:59:00Z</cp:lastPrinted>
  <dcterms:created xsi:type="dcterms:W3CDTF">2020-10-08T02:39:00Z</dcterms:created>
  <dcterms:modified xsi:type="dcterms:W3CDTF">2020-10-08T02:41:00Z</dcterms:modified>
</cp:coreProperties>
</file>