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Pr="00292E80" w:rsidRDefault="00292E80" w:rsidP="00292E80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292E80">
        <w:rPr>
          <w:b/>
          <w:sz w:val="28"/>
          <w:szCs w:val="28"/>
          <w:u w:val="single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2652DB">
        <w:rPr>
          <w:sz w:val="28"/>
          <w:szCs w:val="28"/>
        </w:rPr>
        <w:t>2224192,75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2652DB">
        <w:rPr>
          <w:sz w:val="28"/>
          <w:szCs w:val="28"/>
        </w:rPr>
        <w:t>2329119,47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2652DB">
        <w:rPr>
          <w:sz w:val="28"/>
          <w:szCs w:val="28"/>
        </w:rPr>
        <w:t>104926,72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EB0642">
        <w:rPr>
          <w:sz w:val="28"/>
          <w:szCs w:val="28"/>
        </w:rPr>
        <w:t>Н.В.Кулигина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1" w:name="OLE_LINK1"/>
            <w:bookmarkStart w:id="2" w:name="OLE_LINK2"/>
            <w:r>
              <w:t xml:space="preserve">Приложение № 1 к решению Совета депутатов </w:t>
            </w:r>
          </w:p>
          <w:p w:rsidR="00BC7F03" w:rsidRDefault="00EB0642" w:rsidP="00BC7F03">
            <w:r>
              <w:t>Бурановского</w:t>
            </w:r>
            <w:r w:rsidR="00BC7F03">
              <w:t xml:space="preserve"> сельсовета Калманского района Алтайского края от____________2019 г №____</w:t>
            </w:r>
          </w:p>
        </w:tc>
      </w:tr>
      <w:bookmarkEnd w:id="1"/>
      <w:bookmarkEnd w:id="2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590809" w:rsidRPr="00C976AE" w:rsidTr="00BC7F03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Default="00590809" w:rsidP="00BC7F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муниципал</w:t>
            </w:r>
            <w:r w:rsidR="00EB0642">
              <w:rPr>
                <w:b/>
                <w:bCs/>
                <w:sz w:val="28"/>
                <w:szCs w:val="28"/>
              </w:rPr>
              <w:t>ьного образования Бурановский</w:t>
            </w:r>
            <w:r w:rsidRPr="00BC7F03">
              <w:rPr>
                <w:b/>
                <w:bCs/>
                <w:sz w:val="28"/>
                <w:szCs w:val="28"/>
              </w:rPr>
              <w:t xml:space="preserve"> сельсовет Калманского района Алтайского края за 2018 год</w:t>
            </w:r>
            <w:bookmarkEnd w:id="3"/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3341"/>
              <w:gridCol w:w="1417"/>
              <w:gridCol w:w="1560"/>
              <w:gridCol w:w="2522"/>
            </w:tblGrid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Коды бюджетной классификации РФ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Уточненный 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Фактическое исполнение        2018 г. руб.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Default="00D4284A" w:rsidP="00D4284A">
                  <w:r>
                    <w:t xml:space="preserve">% </w:t>
                  </w:r>
                  <w:proofErr w:type="spellStart"/>
                  <w:proofErr w:type="gramStart"/>
                  <w:r>
                    <w:t>исп</w:t>
                  </w:r>
                  <w:proofErr w:type="spellEnd"/>
                  <w:proofErr w:type="gramEnd"/>
                </w:p>
                <w:p w:rsidR="00D4284A" w:rsidRDefault="00D4284A" w:rsidP="00D4284A">
                  <w:proofErr w:type="spellStart"/>
                  <w:r>
                    <w:t>олнен</w:t>
                  </w:r>
                  <w:proofErr w:type="spellEnd"/>
                </w:p>
                <w:p w:rsidR="00D4284A" w:rsidRPr="00954812" w:rsidRDefault="00D4284A" w:rsidP="00D4284A">
                  <w:proofErr w:type="spellStart"/>
                  <w:r>
                    <w:t>ния</w:t>
                  </w:r>
                  <w:proofErr w:type="spellEnd"/>
                </w:p>
              </w:tc>
            </w:tr>
            <w:tr w:rsidR="00F5778C" w:rsidRPr="00954812" w:rsidTr="00F5778C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</w:t>
                  </w:r>
                  <w:r w:rsidRPr="00954812">
                    <w:rPr>
                      <w:b/>
                      <w:bCs/>
                    </w:rPr>
                    <w:cr/>
                    <w:t>93200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1262515,75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D4284A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105,81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37000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38466,02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D4284A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103,96</w:t>
                  </w:r>
                </w:p>
              </w:tc>
            </w:tr>
            <w:tr w:rsidR="00F5778C" w:rsidRPr="00954812" w:rsidTr="00F5778C">
              <w:trPr>
                <w:trHeight w:val="12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1 01 020300 10 000 110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Налог на доходы физических лиц с доходов, полученных физическими лицами в соответствии со </w:t>
                  </w:r>
                  <w:proofErr w:type="spellStart"/>
                  <w:proofErr w:type="gramStart"/>
                  <w:r w:rsidRPr="00954812">
                    <w:t>ст</w:t>
                  </w:r>
                  <w:proofErr w:type="spellEnd"/>
                  <w:proofErr w:type="gramEnd"/>
                  <w:r w:rsidRPr="00954812">
                    <w:t xml:space="preserve"> 228 Налогового кодекса РФ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324,04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 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1 01</w:t>
                  </w:r>
                  <w:r w:rsidRPr="00954812">
                    <w:cr/>
                    <w:t>02000 01 0000 110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38141,98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103,09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1 05 00000 00 0000 110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171200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171410,85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100,12</w:t>
                  </w:r>
                </w:p>
              </w:tc>
            </w:tr>
            <w:tr w:rsidR="00F5778C" w:rsidRPr="00954812" w:rsidTr="00F5778C">
              <w:trPr>
                <w:trHeight w:val="12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1 05 03000 01 0000 110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Единый сельскохозяйственный нало</w:t>
                  </w:r>
                  <w:proofErr w:type="gramStart"/>
                  <w:r w:rsidRPr="00954812">
                    <w:t>г(</w:t>
                  </w:r>
                  <w:proofErr w:type="gramEnd"/>
                  <w:r w:rsidRPr="00954812">
                    <w:t xml:space="preserve"> за налоговые </w:t>
                  </w:r>
                  <w:proofErr w:type="spellStart"/>
                  <w:r w:rsidRPr="00954812">
                    <w:t>периоды,истекшие</w:t>
                  </w:r>
                  <w:proofErr w:type="spellEnd"/>
                  <w:r w:rsidRPr="00954812">
                    <w:t xml:space="preserve"> до 1 января 2011 года)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171200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171410,85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100,12</w:t>
                  </w:r>
                </w:p>
              </w:tc>
            </w:tr>
            <w:tr w:rsidR="00F5778C" w:rsidRPr="00954812" w:rsidTr="00F5778C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 xml:space="preserve">НАЛОГИ НА ИМУЩЕСТВО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774000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780898,7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100,89</w:t>
                  </w:r>
                </w:p>
              </w:tc>
            </w:tr>
            <w:tr w:rsidR="00F5778C" w:rsidRPr="00954812" w:rsidTr="00F5778C">
              <w:trPr>
                <w:trHeight w:val="172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1 06 01030 10 0000 110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Налог на имущество физических лиц, взимаемый по </w:t>
                  </w:r>
                  <w:proofErr w:type="spellStart"/>
                  <w:r w:rsidRPr="00954812">
                    <w:t>ставкам</w:t>
                  </w:r>
                  <w:proofErr w:type="gramStart"/>
                  <w:r w:rsidRPr="00954812">
                    <w:t>,п</w:t>
                  </w:r>
                  <w:proofErr w:type="gramEnd"/>
                  <w:r w:rsidRPr="00954812">
                    <w:t>рименяемым</w:t>
                  </w:r>
                  <w:proofErr w:type="spellEnd"/>
                  <w:r w:rsidRPr="00954812">
                    <w:t xml:space="preserve"> к объектам налогообложения, расположенным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61000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cr/>
                    <w:t>9118,92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96,92</w:t>
                  </w:r>
                </w:p>
              </w:tc>
            </w:tr>
            <w:tr w:rsidR="00F5778C" w:rsidRPr="00954812" w:rsidTr="00F5778C">
              <w:trPr>
                <w:trHeight w:val="75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1 06 06000 00 0000 110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713000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721779,78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101,23</w:t>
                  </w:r>
                </w:p>
              </w:tc>
            </w:tr>
            <w:tr w:rsidR="00F5778C" w:rsidRPr="00954812" w:rsidTr="00F5778C">
              <w:trPr>
                <w:trHeight w:val="148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111062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105,77</w:t>
                  </w:r>
                </w:p>
              </w:tc>
            </w:tr>
            <w:tr w:rsidR="00F5778C" w:rsidRPr="00954812" w:rsidTr="00F5778C">
              <w:trPr>
                <w:trHeight w:val="30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lastRenderedPageBreak/>
                    <w:t>1 11 09045 10 0000 120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      </w:r>
                  <w:proofErr w:type="gramStart"/>
                  <w:r w:rsidRPr="00954812">
                    <w:t xml:space="preserve">( </w:t>
                  </w:r>
                  <w:proofErr w:type="gramEnd"/>
                  <w:r w:rsidRPr="00954812">
                    <w:t>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111062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105,77</w:t>
                  </w:r>
                </w:p>
              </w:tc>
            </w:tr>
            <w:tr w:rsidR="00F5778C" w:rsidRPr="00954812" w:rsidTr="00F5778C">
              <w:trPr>
                <w:trHeight w:val="73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142328,18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134,27</w:t>
                  </w:r>
                </w:p>
              </w:tc>
            </w:tr>
            <w:tr w:rsidR="00F5778C" w:rsidRPr="00954812" w:rsidTr="00F5778C">
              <w:trPr>
                <w:trHeight w:val="10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1 13 02065 10 0000 130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106000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138769,18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130,91</w:t>
                  </w:r>
                </w:p>
              </w:tc>
            </w:tr>
            <w:tr w:rsidR="00F5778C" w:rsidRPr="00954812" w:rsidTr="00F5778C">
              <w:trPr>
                <w:trHeight w:val="10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1 13 02995 10 0000 </w:t>
                  </w:r>
                  <w:r w:rsidRPr="00954812">
                    <w:cr/>
                    <w:t>30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3559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118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18350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2172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1 17 05050 10 0000 180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18350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85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902000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961677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106,62</w:t>
                  </w:r>
                </w:p>
              </w:tc>
            </w:tr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20215002100000151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Дотации бюджетам поселений на п</w:t>
                  </w:r>
                  <w:r w:rsidRPr="00954812">
                    <w:cr/>
                    <w:t>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100,00</w:t>
                  </w:r>
                </w:p>
              </w:tc>
            </w:tr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20215001100000151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35600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75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20229999100000151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субсидии бюджетам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41</w:t>
                  </w:r>
                  <w:r w:rsidRPr="00954812">
                    <w:cr/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414677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276"/>
              </w:trPr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20235118100000151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Субвенции бюджетам  поселений на осуществление первичного воинского учета на территориях, где отсутствуют военные </w:t>
                  </w:r>
                  <w:r w:rsidRPr="00954812">
                    <w:lastRenderedPageBreak/>
                    <w:t>комиссариаты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lastRenderedPageBreak/>
                    <w:t>77400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77400</w:t>
                  </w:r>
                </w:p>
              </w:tc>
              <w:tc>
                <w:tcPr>
                  <w:tcW w:w="2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276"/>
              </w:trPr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3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2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</w:tr>
            <w:tr w:rsidR="00F5778C" w:rsidRPr="00954812" w:rsidTr="00F5778C">
              <w:trPr>
                <w:trHeight w:val="540"/>
              </w:trPr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3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2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</w:tr>
            <w:tr w:rsidR="00F5778C" w:rsidRPr="00954812" w:rsidTr="00F5778C">
              <w:trPr>
                <w:trHeight w:val="13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lastRenderedPageBreak/>
                    <w:t>20249999100000151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roofErr w:type="spellStart"/>
                  <w:r w:rsidRPr="00954812">
                    <w:t>Прчие</w:t>
                  </w:r>
                  <w:proofErr w:type="spellEnd"/>
                  <w:r w:rsidRPr="00954812">
                    <w:t xml:space="preserve">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117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204050991000000180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28000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</w:t>
                  </w:r>
                </w:p>
              </w:tc>
            </w:tr>
            <w:tr w:rsidR="00F5778C" w:rsidRPr="00954812" w:rsidTr="00F5778C">
              <w:trPr>
                <w:trHeight w:val="16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20705020100000180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32000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0,00</w:t>
                  </w:r>
                </w:p>
              </w:tc>
            </w:tr>
            <w:tr w:rsidR="00F5778C" w:rsidRPr="00954812" w:rsidTr="00F5778C">
              <w:trPr>
                <w:trHeight w:val="360"/>
              </w:trPr>
              <w:tc>
                <w:tcPr>
                  <w:tcW w:w="5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954812">
                    <w:rPr>
                      <w:rFonts w:ascii="Arial CYR" w:hAnsi="Arial CYR" w:cs="Arial CYR"/>
                      <w:b/>
                      <w:bCs/>
                    </w:rPr>
                    <w:t>2095200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954812">
                    <w:rPr>
                      <w:rFonts w:ascii="Arial CYR" w:hAnsi="Arial CYR" w:cs="Arial CYR"/>
                      <w:b/>
                      <w:bCs/>
                    </w:rPr>
                    <w:t>2224192,75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106,16</w:t>
                  </w:r>
                </w:p>
              </w:tc>
            </w:tr>
          </w:tbl>
          <w:p w:rsidR="00954812" w:rsidRPr="00BC7F03" w:rsidRDefault="00954812" w:rsidP="00BC7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4" w:name="OLE_LINK3"/>
            <w:bookmarkStart w:id="5" w:name="OLE_LINK4"/>
            <w:r>
              <w:t xml:space="preserve">Приложение № 2 к решению Совета депутатов </w:t>
            </w:r>
          </w:p>
          <w:p w:rsidR="00CD2FF0" w:rsidRDefault="00EB0642" w:rsidP="00E0719D">
            <w:r>
              <w:t>Бурановского</w:t>
            </w:r>
            <w:r w:rsidR="00CD2FF0">
              <w:t xml:space="preserve"> сельсовета Калманского района Алтайского края от____________2019 г №____</w:t>
            </w:r>
          </w:p>
        </w:tc>
      </w:tr>
      <w:bookmarkEnd w:id="4"/>
      <w:bookmarkEnd w:id="5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4"/>
        <w:gridCol w:w="2413"/>
        <w:gridCol w:w="1665"/>
      </w:tblGrid>
      <w:tr w:rsidR="00CD2FF0" w:rsidRPr="00CD2FF0" w:rsidTr="00CD2FF0">
        <w:trPr>
          <w:trHeight w:val="1070"/>
        </w:trPr>
        <w:tc>
          <w:tcPr>
            <w:tcW w:w="2977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Исполнено</w:t>
            </w:r>
          </w:p>
        </w:tc>
      </w:tr>
      <w:tr w:rsidR="00954812" w:rsidRPr="00CD2FF0" w:rsidTr="00CD2FF0">
        <w:trPr>
          <w:trHeight w:val="563"/>
        </w:trPr>
        <w:tc>
          <w:tcPr>
            <w:tcW w:w="2977" w:type="dxa"/>
            <w:hideMark/>
          </w:tcPr>
          <w:p w:rsidR="00954812" w:rsidRPr="00CD2FF0" w:rsidRDefault="00954812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Источники финансирования дефицита бюджета-всего </w:t>
            </w:r>
          </w:p>
        </w:tc>
        <w:tc>
          <w:tcPr>
            <w:tcW w:w="2974" w:type="dxa"/>
            <w:hideMark/>
          </w:tcPr>
          <w:p w:rsidR="00954812" w:rsidRPr="00CD2FF0" w:rsidRDefault="00954812" w:rsidP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 </w:t>
            </w:r>
          </w:p>
        </w:tc>
        <w:tc>
          <w:tcPr>
            <w:tcW w:w="2413" w:type="dxa"/>
            <w:hideMark/>
          </w:tcPr>
          <w:p w:rsidR="00954812" w:rsidRPr="00CD2FF0" w:rsidRDefault="00954812" w:rsidP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554904,15</w:t>
            </w:r>
          </w:p>
        </w:tc>
        <w:tc>
          <w:tcPr>
            <w:tcW w:w="1665" w:type="dxa"/>
            <w:hideMark/>
          </w:tcPr>
          <w:p w:rsidR="00954812" w:rsidRPr="00CD2FF0" w:rsidRDefault="00954812" w:rsidP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104926,72</w:t>
            </w:r>
          </w:p>
        </w:tc>
      </w:tr>
      <w:tr w:rsidR="00CD2FF0" w:rsidRPr="00CD2FF0" w:rsidTr="00CD2FF0">
        <w:trPr>
          <w:trHeight w:val="31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000 01 05 00 00 00 0000 510</w:t>
            </w:r>
          </w:p>
        </w:tc>
        <w:tc>
          <w:tcPr>
            <w:tcW w:w="2413" w:type="dxa"/>
            <w:hideMark/>
          </w:tcPr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554904,15</w:t>
            </w:r>
          </w:p>
        </w:tc>
        <w:tc>
          <w:tcPr>
            <w:tcW w:w="1665" w:type="dxa"/>
            <w:hideMark/>
          </w:tcPr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104926,72</w:t>
            </w:r>
          </w:p>
        </w:tc>
      </w:tr>
      <w:tr w:rsidR="00CD2FF0" w:rsidRPr="00CD2FF0" w:rsidTr="00CD2FF0">
        <w:trPr>
          <w:trHeight w:val="73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-2095200,00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-2224192,75</w:t>
            </w:r>
          </w:p>
        </w:tc>
      </w:tr>
      <w:tr w:rsidR="00CD2FF0" w:rsidRPr="00CD2FF0" w:rsidTr="00CD2FF0">
        <w:trPr>
          <w:trHeight w:val="982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2650104,15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2329119,47</w:t>
            </w:r>
          </w:p>
        </w:tc>
      </w:tr>
    </w:tbl>
    <w:p w:rsidR="00CD2FF0" w:rsidRPr="00CD2FF0" w:rsidRDefault="00CD2FF0" w:rsidP="00CD2FF0">
      <w:pPr>
        <w:jc w:val="center"/>
        <w:rPr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6" w:name="OLE_LINK13"/>
            <w:bookmarkStart w:id="7" w:name="OLE_LINK14"/>
            <w:bookmarkStart w:id="8" w:name="OLE_LINK15"/>
            <w:r>
              <w:lastRenderedPageBreak/>
              <w:t xml:space="preserve">Приложение № 3 к решению Совета депутатов </w:t>
            </w:r>
          </w:p>
          <w:p w:rsidR="00CD2FF0" w:rsidRDefault="00EB0642" w:rsidP="00E0719D">
            <w:proofErr w:type="spellStart"/>
            <w:r>
              <w:t>Бурановкого</w:t>
            </w:r>
            <w:proofErr w:type="spellEnd"/>
            <w:r w:rsidR="00CD2FF0">
              <w:t xml:space="preserve"> сельсовета Калманского района Алтайского края от____________2019 г №____</w:t>
            </w:r>
          </w:p>
        </w:tc>
      </w:tr>
      <w:bookmarkEnd w:id="6"/>
      <w:bookmarkEnd w:id="7"/>
      <w:bookmarkEnd w:id="8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tbl>
      <w:tblPr>
        <w:tblpPr w:leftFromText="180" w:rightFromText="180" w:vertAnchor="text" w:horzAnchor="margin" w:tblpXSpec="center" w:tblpY="192"/>
        <w:tblW w:w="10571" w:type="dxa"/>
        <w:tblLook w:val="04A0" w:firstRow="1" w:lastRow="0" w:firstColumn="1" w:lastColumn="0" w:noHBand="0" w:noVBand="1"/>
      </w:tblPr>
      <w:tblGrid>
        <w:gridCol w:w="616"/>
        <w:gridCol w:w="6359"/>
        <w:gridCol w:w="1166"/>
        <w:gridCol w:w="1209"/>
        <w:gridCol w:w="1221"/>
      </w:tblGrid>
      <w:tr w:rsidR="00F5778C" w:rsidRPr="00F5778C" w:rsidTr="00F5778C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</w:pPr>
            <w:proofErr w:type="spellStart"/>
            <w:r w:rsidRPr="00F5778C">
              <w:t>Рз</w:t>
            </w:r>
            <w:proofErr w:type="spellEnd"/>
            <w:r w:rsidRPr="00F5778C">
              <w:t xml:space="preserve"> </w:t>
            </w:r>
            <w:proofErr w:type="spellStart"/>
            <w:proofErr w:type="gramStart"/>
            <w:r w:rsidRPr="00F5778C">
              <w:t>Пр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</w:pPr>
            <w:r w:rsidRPr="00F5778C">
              <w:t>Наименование показателей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18"/>
                <w:szCs w:val="18"/>
              </w:rPr>
            </w:pPr>
            <w:proofErr w:type="spellStart"/>
            <w:r w:rsidRPr="00F5778C">
              <w:rPr>
                <w:sz w:val="18"/>
                <w:szCs w:val="18"/>
              </w:rPr>
              <w:t>Уточненый</w:t>
            </w:r>
            <w:proofErr w:type="spellEnd"/>
            <w:r w:rsidRPr="00F5778C">
              <w:rPr>
                <w:sz w:val="18"/>
                <w:szCs w:val="18"/>
              </w:rPr>
              <w:t xml:space="preserve"> план  на 2018 г.         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18"/>
                <w:szCs w:val="18"/>
              </w:rPr>
            </w:pPr>
            <w:r w:rsidRPr="00F5778C">
              <w:rPr>
                <w:sz w:val="18"/>
                <w:szCs w:val="18"/>
              </w:rPr>
              <w:t>Фактическое исполнение за 2018 г.        руб.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% исполнения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1280582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1170489,4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91,4</w:t>
            </w:r>
          </w:p>
        </w:tc>
      </w:tr>
      <w:tr w:rsidR="00F5778C" w:rsidRPr="00F5778C" w:rsidTr="00F5778C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0113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417522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412333,22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F5778C" w:rsidRPr="00F5778C" w:rsidTr="00F5778C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  <w:color w:val="000000"/>
              </w:rPr>
            </w:pPr>
            <w:r w:rsidRPr="00F577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77400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77400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0203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77400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77400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150436,15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37461,87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F5778C" w:rsidRPr="00F5778C" w:rsidTr="00F5778C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0412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r w:rsidRPr="00F5778C">
              <w:t>Другие вопросы в области национальной экономике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150436,15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37461,87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8C" w:rsidRPr="00F5778C" w:rsidRDefault="00F5778C" w:rsidP="00F5778C">
            <w:pPr>
              <w:jc w:val="both"/>
              <w:rPr>
                <w:b/>
                <w:bCs/>
              </w:rPr>
            </w:pPr>
            <w:r w:rsidRPr="00F57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812869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727107,35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89,4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0503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Благоустройство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708869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623505,38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F5778C" w:rsidRPr="00F5778C" w:rsidTr="00F5778C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0505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Другие вопросы в области жилищно-</w:t>
            </w:r>
            <w:proofErr w:type="spellStart"/>
            <w:r w:rsidRPr="00F5778C">
              <w:t>комунального</w:t>
            </w:r>
            <w:proofErr w:type="spellEnd"/>
            <w:r w:rsidRPr="00F5778C">
              <w:t xml:space="preserve">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104000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103601,97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  <w:color w:val="000000"/>
              </w:rPr>
            </w:pPr>
            <w:proofErr w:type="spellStart"/>
            <w:r w:rsidRPr="00F5778C">
              <w:rPr>
                <w:b/>
                <w:bCs/>
                <w:color w:val="000000"/>
              </w:rPr>
              <w:t>Культура</w:t>
            </w:r>
            <w:proofErr w:type="gramStart"/>
            <w:r w:rsidRPr="00F5778C">
              <w:rPr>
                <w:b/>
                <w:bCs/>
                <w:color w:val="000000"/>
              </w:rPr>
              <w:t>,к</w:t>
            </w:r>
            <w:proofErr w:type="gramEnd"/>
            <w:r w:rsidRPr="00F5778C">
              <w:rPr>
                <w:b/>
                <w:bCs/>
                <w:color w:val="000000"/>
              </w:rPr>
              <w:t>инематография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280117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267960,81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0801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250000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241081,06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0804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 xml:space="preserve">Другие вопросы в области </w:t>
            </w:r>
            <w:proofErr w:type="spellStart"/>
            <w:r w:rsidRPr="00F5778C">
              <w:t>культуры</w:t>
            </w:r>
            <w:proofErr w:type="gramStart"/>
            <w:r w:rsidRPr="00F5778C">
              <w:t>,к</w:t>
            </w:r>
            <w:proofErr w:type="gramEnd"/>
            <w:r w:rsidRPr="00F5778C">
              <w:t>инематографии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30117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26879,75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1102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Массовый спорт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1900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78C" w:rsidRPr="00F5778C" w:rsidTr="00F5778C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46800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46800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C669C6">
        <w:trPr>
          <w:trHeight w:val="6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1403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color w:val="000000"/>
              </w:rPr>
            </w:pPr>
            <w:r w:rsidRPr="00F5778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46800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46800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C669C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2650104,15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2329119,47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87,9</w:t>
            </w:r>
          </w:p>
        </w:tc>
      </w:tr>
    </w:tbl>
    <w:p w:rsidR="00F5778C" w:rsidRDefault="00F5778C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5778C" w:rsidRDefault="00F5778C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EB0642" w:rsidP="00E0719D">
            <w:r>
              <w:t>Бурановского</w:t>
            </w:r>
            <w:r w:rsidR="00E0719D">
              <w:t xml:space="preserve"> сельсовета Калманского района Алтайского края от____________2019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C669C6" w:rsidRDefault="00C669C6" w:rsidP="00E0719D">
      <w:pPr>
        <w:jc w:val="center"/>
        <w:rPr>
          <w:sz w:val="28"/>
          <w:szCs w:val="28"/>
        </w:rPr>
      </w:pPr>
    </w:p>
    <w:tbl>
      <w:tblPr>
        <w:tblW w:w="10657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3711"/>
        <w:gridCol w:w="731"/>
        <w:gridCol w:w="651"/>
        <w:gridCol w:w="483"/>
        <w:gridCol w:w="1275"/>
        <w:gridCol w:w="567"/>
        <w:gridCol w:w="1219"/>
        <w:gridCol w:w="1276"/>
        <w:gridCol w:w="744"/>
      </w:tblGrid>
      <w:tr w:rsidR="00C669C6" w:rsidRPr="00C669C6" w:rsidTr="00A65439">
        <w:trPr>
          <w:trHeight w:val="76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sz w:val="18"/>
                <w:szCs w:val="18"/>
              </w:rPr>
            </w:pPr>
            <w:r w:rsidRPr="00C669C6">
              <w:rPr>
                <w:sz w:val="18"/>
                <w:szCs w:val="18"/>
              </w:rPr>
              <w:t>Уточненный план  на 2018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18"/>
                <w:szCs w:val="18"/>
              </w:rPr>
            </w:pPr>
            <w:r w:rsidRPr="00C669C6">
              <w:rPr>
                <w:sz w:val="18"/>
                <w:szCs w:val="18"/>
              </w:rPr>
              <w:t xml:space="preserve">Факт 2018 </w:t>
            </w:r>
            <w:proofErr w:type="spellStart"/>
            <w:r w:rsidRPr="00C669C6">
              <w:rPr>
                <w:sz w:val="18"/>
                <w:szCs w:val="18"/>
              </w:rPr>
              <w:t>г</w:t>
            </w:r>
            <w:proofErr w:type="gramStart"/>
            <w:r w:rsidRPr="00C669C6">
              <w:rPr>
                <w:sz w:val="18"/>
                <w:szCs w:val="18"/>
              </w:rPr>
              <w:t>.р</w:t>
            </w:r>
            <w:proofErr w:type="gramEnd"/>
            <w:r w:rsidRPr="00C669C6">
              <w:rPr>
                <w:sz w:val="18"/>
                <w:szCs w:val="18"/>
              </w:rPr>
              <w:t>уб</w:t>
            </w:r>
            <w:proofErr w:type="spellEnd"/>
            <w:r w:rsidRPr="00C669C6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% исполнения</w:t>
            </w:r>
          </w:p>
        </w:tc>
      </w:tr>
      <w:tr w:rsidR="00C669C6" w:rsidRPr="00C669C6" w:rsidTr="00A65439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1280582,00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1170489,44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91,40</w:t>
            </w:r>
          </w:p>
        </w:tc>
      </w:tr>
      <w:tr w:rsidR="00C669C6" w:rsidRPr="00C669C6" w:rsidTr="00A65439">
        <w:trPr>
          <w:trHeight w:val="11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863060,00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758156,22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87,85</w:t>
            </w:r>
          </w:p>
        </w:tc>
      </w:tr>
      <w:tr w:rsidR="00C669C6" w:rsidRPr="00C669C6" w:rsidTr="00A65439">
        <w:trPr>
          <w:trHeight w:val="54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511860,00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406997,94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79,51</w:t>
            </w:r>
          </w:p>
        </w:tc>
      </w:tr>
      <w:tr w:rsidR="00C669C6" w:rsidRPr="00C669C6" w:rsidTr="00A65439">
        <w:trPr>
          <w:trHeight w:val="12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221660,00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221659,46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260200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156748,25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60,24</w:t>
            </w:r>
          </w:p>
        </w:tc>
      </w:tr>
      <w:tr w:rsidR="00C669C6" w:rsidRPr="00C669C6" w:rsidTr="00A65439">
        <w:trPr>
          <w:trHeight w:val="2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28590,23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95,30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0120010130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351200,00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351158,28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69C6" w:rsidRPr="00C669C6" w:rsidTr="00A65439">
        <w:trPr>
          <w:trHeight w:val="12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351200,00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351158,28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417522,00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412333,22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98,76</w:t>
            </w:r>
          </w:p>
        </w:tc>
      </w:tr>
      <w:tr w:rsidR="00C669C6" w:rsidRPr="00C669C6" w:rsidTr="00A65439">
        <w:trPr>
          <w:trHeight w:val="133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18922,0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18921,40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57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398600,0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393411,82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98,70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0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12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59928,94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59928,94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17471,06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17471,06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4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812869,00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727107,35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89,45</w:t>
            </w:r>
          </w:p>
        </w:tc>
      </w:tr>
      <w:tr w:rsidR="00C669C6" w:rsidRPr="00C669C6" w:rsidTr="00A65439">
        <w:trPr>
          <w:trHeight w:val="40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708869,00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623505,38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87,96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на реализацию проектов развития общественной инфраструктуры, основанных на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иннициативах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619269,00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533946,00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619269,00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533946,00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86,22</w:t>
            </w:r>
          </w:p>
        </w:tc>
      </w:tr>
      <w:tr w:rsidR="00C669C6" w:rsidRPr="00C669C6" w:rsidTr="00A65439">
        <w:trPr>
          <w:trHeight w:val="4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4559,38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99,12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4559,38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99,12</w:t>
            </w:r>
          </w:p>
        </w:tc>
      </w:tr>
      <w:tr w:rsidR="00C669C6" w:rsidRPr="00C669C6" w:rsidTr="00A65439">
        <w:trPr>
          <w:trHeight w:val="34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4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280117,00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267960,81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95,66</w:t>
            </w:r>
          </w:p>
        </w:tc>
      </w:tr>
      <w:tr w:rsidR="00C669C6" w:rsidRPr="00C669C6" w:rsidTr="00A65439">
        <w:trPr>
          <w:trHeight w:val="33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34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220010530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220010530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4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26879,75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89,25</w:t>
            </w:r>
          </w:p>
        </w:tc>
      </w:tr>
      <w:tr w:rsidR="00C669C6" w:rsidRPr="00C669C6" w:rsidTr="00A65439">
        <w:trPr>
          <w:trHeight w:val="6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28117,00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24879,75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88,49</w:t>
            </w:r>
          </w:p>
        </w:tc>
      </w:tr>
      <w:tr w:rsidR="00C669C6" w:rsidRPr="00C669C6" w:rsidTr="00A65439">
        <w:trPr>
          <w:trHeight w:val="138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3116,10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99,97</w:t>
            </w:r>
          </w:p>
        </w:tc>
      </w:tr>
      <w:tr w:rsidR="00C669C6" w:rsidRPr="00C669C6" w:rsidTr="00A65439">
        <w:trPr>
          <w:trHeight w:val="55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21763,65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87,05</w:t>
            </w:r>
          </w:p>
        </w:tc>
      </w:tr>
      <w:tr w:rsidR="00C669C6" w:rsidRPr="00C669C6" w:rsidTr="00A65439">
        <w:trPr>
          <w:trHeight w:val="60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2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4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2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 xml:space="preserve">Мероприятия в области здравоохранения, физической </w:t>
            </w:r>
            <w:proofErr w:type="spellStart"/>
            <w:r w:rsidRPr="00C669C6">
              <w:rPr>
                <w:sz w:val="20"/>
                <w:szCs w:val="20"/>
              </w:rPr>
              <w:t>кульруры</w:t>
            </w:r>
            <w:proofErr w:type="spellEnd"/>
            <w:r w:rsidRPr="00C669C6">
              <w:rPr>
                <w:sz w:val="20"/>
                <w:szCs w:val="20"/>
              </w:rPr>
              <w:t xml:space="preserve"> и спорта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60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669C6">
              <w:rPr>
                <w:b/>
                <w:bCs/>
                <w:sz w:val="20"/>
                <w:szCs w:val="20"/>
              </w:rPr>
              <w:t>Межбюджетные</w:t>
            </w:r>
            <w:proofErr w:type="gramEnd"/>
            <w:r w:rsidRPr="00C669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C6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C669C6">
              <w:rPr>
                <w:b/>
                <w:bCs/>
                <w:sz w:val="20"/>
                <w:szCs w:val="20"/>
              </w:rPr>
              <w:t xml:space="preserve"> бюджетам  муниципальных районов из бюджетов поселений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46800,00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2650104,15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2329119,47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87,89</w:t>
            </w:r>
          </w:p>
        </w:tc>
      </w:tr>
    </w:tbl>
    <w:p w:rsidR="00C669C6" w:rsidRPr="00E0719D" w:rsidRDefault="00C669C6" w:rsidP="00E0719D">
      <w:pPr>
        <w:jc w:val="center"/>
        <w:rPr>
          <w:sz w:val="28"/>
          <w:szCs w:val="28"/>
        </w:rPr>
      </w:pPr>
    </w:p>
    <w:p w:rsidR="00C976AE" w:rsidRDefault="00C976AE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E253CF">
                    <w:rPr>
                      <w:b/>
                      <w:sz w:val="28"/>
                      <w:szCs w:val="28"/>
                    </w:rPr>
                    <w:t>Бурановский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</w:t>
      </w:r>
      <w:r w:rsidR="00E253CF">
        <w:rPr>
          <w:sz w:val="28"/>
          <w:szCs w:val="28"/>
        </w:rPr>
        <w:t>ование: Администрация 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659032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="00E253CF">
        <w:rPr>
          <w:sz w:val="28"/>
          <w:szCs w:val="28"/>
        </w:rPr>
        <w:t>с.Бураново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</w:t>
      </w:r>
      <w:r w:rsidR="00E253CF">
        <w:rPr>
          <w:sz w:val="28"/>
          <w:szCs w:val="28"/>
        </w:rPr>
        <w:t>8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</w:t>
      </w:r>
      <w:r w:rsidR="00E253CF">
        <w:rPr>
          <w:sz w:val="28"/>
          <w:szCs w:val="28"/>
        </w:rPr>
        <w:t>32</w:t>
      </w:r>
      <w:r w:rsidRPr="001F6BAF">
        <w:rPr>
          <w:sz w:val="28"/>
          <w:szCs w:val="28"/>
        </w:rPr>
        <w:t>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E253CF">
        <w:rPr>
          <w:sz w:val="28"/>
          <w:szCs w:val="28"/>
        </w:rPr>
        <w:t>с.Бураново</w:t>
      </w:r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д.18</w:t>
      </w:r>
    </w:p>
    <w:p w:rsidR="002443E2" w:rsidRPr="001F6BAF" w:rsidRDefault="00E253CF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Бурановского</w:t>
      </w:r>
      <w:r w:rsidR="002443E2" w:rsidRPr="001F6BAF">
        <w:rPr>
          <w:sz w:val="28"/>
          <w:szCs w:val="28"/>
        </w:rPr>
        <w:t xml:space="preserve"> сельсовета Калманского района Алтайского края является органом исполнительной власти муниципального </w:t>
      </w:r>
      <w:r>
        <w:rPr>
          <w:sz w:val="28"/>
          <w:szCs w:val="28"/>
        </w:rPr>
        <w:lastRenderedPageBreak/>
        <w:t>образования Бурановский</w:t>
      </w:r>
      <w:r w:rsidR="002443E2" w:rsidRPr="001F6BAF">
        <w:rPr>
          <w:sz w:val="28"/>
          <w:szCs w:val="28"/>
        </w:rPr>
        <w:t xml:space="preserve"> сельсовет, органом, организующим исполнение бюджета поселения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 Калманского района; </w:t>
      </w:r>
      <w:proofErr w:type="gramStart"/>
      <w:r w:rsidR="002443E2"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="002443E2"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="002443E2" w:rsidRPr="001F6BAF">
        <w:rPr>
          <w:sz w:val="28"/>
          <w:szCs w:val="28"/>
        </w:rPr>
        <w:t xml:space="preserve"> сельсовет.</w:t>
      </w:r>
      <w:proofErr w:type="gramEnd"/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7D78FD">
        <w:rPr>
          <w:sz w:val="28"/>
          <w:szCs w:val="28"/>
        </w:rPr>
        <w:t>37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7D78FD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7D78FD">
        <w:rPr>
          <w:sz w:val="28"/>
          <w:szCs w:val="28"/>
        </w:rPr>
        <w:t>38466,02</w:t>
      </w:r>
      <w:r w:rsidR="00C37D0F" w:rsidRPr="006017F9">
        <w:rPr>
          <w:sz w:val="28"/>
          <w:szCs w:val="28"/>
        </w:rPr>
        <w:t>(</w:t>
      </w:r>
      <w:r w:rsidR="007D78FD">
        <w:rPr>
          <w:sz w:val="28"/>
          <w:szCs w:val="28"/>
        </w:rPr>
        <w:t>103,96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7D78FD">
        <w:rPr>
          <w:sz w:val="28"/>
          <w:szCs w:val="28"/>
        </w:rPr>
        <w:t>171 200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7D78FD">
        <w:rPr>
          <w:sz w:val="28"/>
          <w:szCs w:val="28"/>
        </w:rPr>
        <w:t>171 410,85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100</w:t>
      </w:r>
      <w:r w:rsidR="007D78FD">
        <w:rPr>
          <w:sz w:val="28"/>
          <w:szCs w:val="28"/>
        </w:rPr>
        <w:t>,12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7D78FD">
        <w:rPr>
          <w:sz w:val="28"/>
          <w:szCs w:val="28"/>
        </w:rPr>
        <w:t>6</w:t>
      </w:r>
      <w:r w:rsidR="006044A9">
        <w:rPr>
          <w:sz w:val="28"/>
          <w:szCs w:val="28"/>
        </w:rPr>
        <w:t>1 000,00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7D78FD">
        <w:rPr>
          <w:sz w:val="28"/>
          <w:szCs w:val="28"/>
        </w:rPr>
        <w:t>59118,92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7D78FD">
        <w:rPr>
          <w:sz w:val="28"/>
          <w:szCs w:val="28"/>
        </w:rPr>
        <w:t>96,92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7D78FD">
        <w:rPr>
          <w:sz w:val="28"/>
          <w:szCs w:val="28"/>
        </w:rPr>
        <w:t>713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7D78FD">
        <w:rPr>
          <w:sz w:val="28"/>
          <w:szCs w:val="28"/>
        </w:rPr>
        <w:t>721 779,78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7D78FD">
        <w:rPr>
          <w:sz w:val="28"/>
          <w:szCs w:val="28"/>
        </w:rPr>
        <w:t>101,23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7D78FD">
        <w:rPr>
          <w:sz w:val="28"/>
          <w:szCs w:val="28"/>
        </w:rPr>
        <w:t>961 677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642D3E">
        <w:rPr>
          <w:sz w:val="28"/>
          <w:szCs w:val="28"/>
        </w:rPr>
        <w:t>36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6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2D3E">
        <w:rPr>
          <w:sz w:val="28"/>
          <w:szCs w:val="28"/>
        </w:rPr>
        <w:t xml:space="preserve"> 370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642D3E">
        <w:rPr>
          <w:sz w:val="28"/>
          <w:szCs w:val="28"/>
        </w:rPr>
        <w:t>77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4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lastRenderedPageBreak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642D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0</w:t>
      </w:r>
      <w:r w:rsidRPr="0018734C">
        <w:rPr>
          <w:sz w:val="28"/>
          <w:szCs w:val="28"/>
        </w:rPr>
        <w:t>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642D3E">
        <w:rPr>
          <w:sz w:val="28"/>
          <w:szCs w:val="28"/>
        </w:rPr>
        <w:t>414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677</w:t>
      </w:r>
      <w:r w:rsidR="0018734C" w:rsidRPr="0018734C">
        <w:rPr>
          <w:sz w:val="28"/>
          <w:szCs w:val="28"/>
        </w:rPr>
        <w:t>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642D3E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за 2018 год составил </w:t>
      </w:r>
      <w:r w:rsidR="00642D3E">
        <w:rPr>
          <w:sz w:val="28"/>
          <w:szCs w:val="28"/>
        </w:rPr>
        <w:t>2 329 119,47</w:t>
      </w:r>
      <w:r>
        <w:rPr>
          <w:sz w:val="28"/>
          <w:szCs w:val="28"/>
        </w:rPr>
        <w:t xml:space="preserve"> рублей, в том числе: 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863060</w:t>
      </w:r>
      <w:r w:rsidR="00733E55" w:rsidRPr="006017F9">
        <w:rPr>
          <w:sz w:val="28"/>
          <w:szCs w:val="28"/>
        </w:rPr>
        <w:t xml:space="preserve"> рублей, исполнено – </w:t>
      </w:r>
      <w:r w:rsidR="00642D3E">
        <w:rPr>
          <w:sz w:val="28"/>
          <w:szCs w:val="28"/>
        </w:rPr>
        <w:t>758156,22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642D3E">
        <w:rPr>
          <w:sz w:val="28"/>
          <w:szCs w:val="28"/>
        </w:rPr>
        <w:t>87,85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42D3E">
        <w:rPr>
          <w:sz w:val="28"/>
          <w:szCs w:val="28"/>
        </w:rPr>
        <w:t>417 522</w:t>
      </w:r>
      <w:r>
        <w:rPr>
          <w:sz w:val="28"/>
          <w:szCs w:val="28"/>
        </w:rPr>
        <w:t>,00 рублей</w:t>
      </w:r>
      <w:r w:rsidR="003D2887">
        <w:rPr>
          <w:sz w:val="28"/>
          <w:szCs w:val="28"/>
        </w:rPr>
        <w:t xml:space="preserve">, исполнено </w:t>
      </w:r>
      <w:r w:rsidR="00642D3E">
        <w:rPr>
          <w:sz w:val="28"/>
          <w:szCs w:val="28"/>
        </w:rPr>
        <w:t>412 333,22</w:t>
      </w:r>
      <w:r w:rsidR="003D288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</w:t>
      </w:r>
      <w:r w:rsidR="00642D3E">
        <w:rPr>
          <w:sz w:val="28"/>
          <w:szCs w:val="28"/>
        </w:rPr>
        <w:t>8,76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</w:t>
      </w:r>
      <w:r w:rsidR="005146A3">
        <w:rPr>
          <w:sz w:val="28"/>
          <w:szCs w:val="28"/>
        </w:rPr>
        <w:t>7</w:t>
      </w:r>
      <w:r w:rsidR="00E2214E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4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</w:t>
      </w:r>
      <w:r w:rsidR="005146A3">
        <w:rPr>
          <w:sz w:val="28"/>
          <w:szCs w:val="28"/>
        </w:rPr>
        <w:t>7</w:t>
      </w:r>
      <w:r w:rsidR="00E2214E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4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5146A3">
        <w:rPr>
          <w:sz w:val="28"/>
          <w:szCs w:val="28"/>
        </w:rPr>
        <w:t>812 869,00</w:t>
      </w:r>
      <w:r w:rsidR="005A514A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5146A3">
        <w:rPr>
          <w:sz w:val="28"/>
          <w:szCs w:val="28"/>
        </w:rPr>
        <w:t>727 107,35</w:t>
      </w:r>
      <w:r w:rsidR="005A514A">
        <w:rPr>
          <w:sz w:val="28"/>
          <w:szCs w:val="28"/>
        </w:rPr>
        <w:t xml:space="preserve">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5146A3">
        <w:rPr>
          <w:sz w:val="28"/>
          <w:szCs w:val="28"/>
        </w:rPr>
        <w:t xml:space="preserve"> 89,45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280 117</w:t>
      </w:r>
      <w:r w:rsidR="006B41A0">
        <w:rPr>
          <w:sz w:val="28"/>
          <w:szCs w:val="28"/>
        </w:rPr>
        <w:t>,00</w:t>
      </w:r>
      <w:r w:rsidR="003D2887">
        <w:rPr>
          <w:sz w:val="28"/>
          <w:szCs w:val="28"/>
        </w:rPr>
        <w:t xml:space="preserve"> рублей, исполнено </w:t>
      </w:r>
      <w:r w:rsidR="005146A3">
        <w:rPr>
          <w:sz w:val="28"/>
          <w:szCs w:val="28"/>
        </w:rPr>
        <w:t>267 960,81</w:t>
      </w:r>
      <w:r w:rsidR="003D2887">
        <w:rPr>
          <w:sz w:val="28"/>
          <w:szCs w:val="28"/>
        </w:rPr>
        <w:t xml:space="preserve"> руб</w:t>
      </w:r>
      <w:r w:rsidR="005146A3">
        <w:rPr>
          <w:sz w:val="28"/>
          <w:szCs w:val="28"/>
        </w:rPr>
        <w:t xml:space="preserve">. </w:t>
      </w:r>
      <w:r w:rsidR="00AA28E3">
        <w:rPr>
          <w:sz w:val="28"/>
          <w:szCs w:val="28"/>
        </w:rPr>
        <w:t xml:space="preserve"> что составляет </w:t>
      </w:r>
      <w:r w:rsidR="005146A3">
        <w:rPr>
          <w:sz w:val="28"/>
          <w:szCs w:val="28"/>
        </w:rPr>
        <w:t>95,66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5146A3">
        <w:rPr>
          <w:sz w:val="28"/>
          <w:szCs w:val="28"/>
        </w:rPr>
        <w:t>«Физическая культура и спорт</w:t>
      </w:r>
      <w:r w:rsidR="006B41A0">
        <w:rPr>
          <w:sz w:val="28"/>
          <w:szCs w:val="28"/>
        </w:rPr>
        <w:t>»</w:t>
      </w:r>
      <w:r w:rsidR="005146A3">
        <w:rPr>
          <w:sz w:val="28"/>
          <w:szCs w:val="28"/>
        </w:rPr>
        <w:t xml:space="preserve"> запланировано 1 900,00 руб., исполнено 1900,00</w:t>
      </w:r>
      <w:r>
        <w:rPr>
          <w:sz w:val="28"/>
          <w:szCs w:val="28"/>
        </w:rPr>
        <w:t xml:space="preserve"> руб.</w:t>
      </w:r>
    </w:p>
    <w:p w:rsidR="006B41A0" w:rsidRDefault="006B41A0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0E0DB7">
        <w:rPr>
          <w:sz w:val="28"/>
          <w:szCs w:val="28"/>
        </w:rPr>
        <w:t>380977,43</w:t>
      </w:r>
      <w:r w:rsidRPr="006017F9">
        <w:rPr>
          <w:sz w:val="28"/>
          <w:szCs w:val="28"/>
        </w:rPr>
        <w:t xml:space="preserve"> рубл</w:t>
      </w:r>
      <w:r w:rsidR="000E0DB7">
        <w:rPr>
          <w:sz w:val="28"/>
          <w:szCs w:val="28"/>
        </w:rPr>
        <w:t>я</w:t>
      </w:r>
      <w:r w:rsidRPr="006017F9">
        <w:rPr>
          <w:sz w:val="28"/>
          <w:szCs w:val="28"/>
        </w:rPr>
        <w:t>.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Сведения по дебиторской и кредиторской задолженности </w:t>
      </w:r>
      <w:r>
        <w:rPr>
          <w:sz w:val="28"/>
          <w:szCs w:val="28"/>
        </w:rPr>
        <w:t>ДЕБИТОРСКАЯ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01.01.201</w:t>
      </w:r>
      <w:r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2449,87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B32734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 w:rsidR="007E14FD"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 w:rsidR="007E14FD"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82449D">
        <w:rPr>
          <w:sz w:val="28"/>
          <w:szCs w:val="28"/>
        </w:rPr>
        <w:t>асчеты по прочим платежам в бюджет (пени</w:t>
      </w:r>
      <w:r w:rsidR="00AC6604">
        <w:rPr>
          <w:sz w:val="28"/>
          <w:szCs w:val="28"/>
        </w:rPr>
        <w:t>, штрафы)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 w:rsidR="00AC6604">
        <w:rPr>
          <w:sz w:val="28"/>
          <w:szCs w:val="28"/>
        </w:rPr>
        <w:t>страховым взносам в ФФОМС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Pr="001F6BAF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 w:rsidR="00AC6604">
        <w:rPr>
          <w:sz w:val="28"/>
          <w:szCs w:val="28"/>
        </w:rPr>
        <w:t xml:space="preserve"> </w:t>
      </w:r>
      <w:proofErr w:type="spellStart"/>
      <w:r w:rsidR="00AC6604">
        <w:rPr>
          <w:sz w:val="28"/>
          <w:szCs w:val="28"/>
        </w:rPr>
        <w:t>стаховым</w:t>
      </w:r>
      <w:proofErr w:type="spellEnd"/>
      <w:r w:rsidR="00AC6604">
        <w:rPr>
          <w:sz w:val="28"/>
          <w:szCs w:val="28"/>
        </w:rPr>
        <w:t xml:space="preserve"> взносам в пенсионный фонд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7E14F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01.01.201</w:t>
      </w:r>
      <w:r w:rsidR="007E14FD"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0,00 руб</w:t>
      </w:r>
      <w:r w:rsidRPr="001F6BAF">
        <w:rPr>
          <w:sz w:val="28"/>
          <w:szCs w:val="28"/>
        </w:rPr>
        <w:t xml:space="preserve">. 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C" w:rsidRDefault="002E68BC" w:rsidP="001D1E3E">
      <w:r>
        <w:separator/>
      </w:r>
    </w:p>
  </w:endnote>
  <w:endnote w:type="continuationSeparator" w:id="0">
    <w:p w:rsidR="002E68BC" w:rsidRDefault="002E68BC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C" w:rsidRDefault="002E68BC" w:rsidP="001D1E3E">
      <w:r>
        <w:separator/>
      </w:r>
    </w:p>
  </w:footnote>
  <w:footnote w:type="continuationSeparator" w:id="0">
    <w:p w:rsidR="002E68BC" w:rsidRDefault="002E68BC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E68BC"/>
    <w:rsid w:val="002F3FAD"/>
    <w:rsid w:val="00326D24"/>
    <w:rsid w:val="00330CB3"/>
    <w:rsid w:val="00361641"/>
    <w:rsid w:val="0036178A"/>
    <w:rsid w:val="003D2887"/>
    <w:rsid w:val="003D6FC5"/>
    <w:rsid w:val="0041377E"/>
    <w:rsid w:val="004464C5"/>
    <w:rsid w:val="00454E3A"/>
    <w:rsid w:val="004714D1"/>
    <w:rsid w:val="00497C5B"/>
    <w:rsid w:val="004B49A3"/>
    <w:rsid w:val="004B538E"/>
    <w:rsid w:val="004C2DCE"/>
    <w:rsid w:val="004F3BDE"/>
    <w:rsid w:val="00506B28"/>
    <w:rsid w:val="00512435"/>
    <w:rsid w:val="005146A3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2D3E"/>
    <w:rsid w:val="00644C88"/>
    <w:rsid w:val="00656E21"/>
    <w:rsid w:val="006B41A0"/>
    <w:rsid w:val="006C006F"/>
    <w:rsid w:val="00704E22"/>
    <w:rsid w:val="00733E55"/>
    <w:rsid w:val="007715BF"/>
    <w:rsid w:val="0077288F"/>
    <w:rsid w:val="00775A57"/>
    <w:rsid w:val="007D78FD"/>
    <w:rsid w:val="007E14FD"/>
    <w:rsid w:val="007E1809"/>
    <w:rsid w:val="007F2673"/>
    <w:rsid w:val="00804FD8"/>
    <w:rsid w:val="0082449D"/>
    <w:rsid w:val="00826BE5"/>
    <w:rsid w:val="00830D2A"/>
    <w:rsid w:val="00854047"/>
    <w:rsid w:val="008A08C5"/>
    <w:rsid w:val="008B239F"/>
    <w:rsid w:val="008B6673"/>
    <w:rsid w:val="008C4EEA"/>
    <w:rsid w:val="0095243B"/>
    <w:rsid w:val="00954812"/>
    <w:rsid w:val="00954E5B"/>
    <w:rsid w:val="00957D95"/>
    <w:rsid w:val="009B2C58"/>
    <w:rsid w:val="009F4319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C265BD"/>
    <w:rsid w:val="00C37D0F"/>
    <w:rsid w:val="00C449F3"/>
    <w:rsid w:val="00C65E64"/>
    <w:rsid w:val="00C669C6"/>
    <w:rsid w:val="00C976AE"/>
    <w:rsid w:val="00CD2FF0"/>
    <w:rsid w:val="00D02964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F071A9"/>
    <w:rsid w:val="00F5778C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2</cp:revision>
  <cp:lastPrinted>2018-03-29T08:32:00Z</cp:lastPrinted>
  <dcterms:created xsi:type="dcterms:W3CDTF">2019-03-20T05:10:00Z</dcterms:created>
  <dcterms:modified xsi:type="dcterms:W3CDTF">2019-03-20T05:10:00Z</dcterms:modified>
</cp:coreProperties>
</file>