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B" w:rsidRPr="00905386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05386">
        <w:rPr>
          <w:rFonts w:ascii="PT Astra Serif" w:hAnsi="PT Astra Serif"/>
          <w:b/>
          <w:sz w:val="26"/>
          <w:szCs w:val="26"/>
        </w:rPr>
        <w:t xml:space="preserve">Извещение о размещении проекта отчета </w:t>
      </w:r>
      <w:r w:rsidRPr="00905386">
        <w:rPr>
          <w:rFonts w:ascii="PT Astra Serif" w:hAnsi="PT Astra Serif"/>
          <w:b/>
          <w:sz w:val="26"/>
          <w:szCs w:val="26"/>
        </w:rPr>
        <w:br/>
        <w:t>по итогам определения кадастровой стоимости объектов недвижимости,</w:t>
      </w:r>
    </w:p>
    <w:p w:rsidR="008A28CB" w:rsidRPr="00905386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05386">
        <w:rPr>
          <w:rFonts w:ascii="PT Astra Serif" w:hAnsi="PT Astra Serif"/>
          <w:b/>
          <w:sz w:val="26"/>
          <w:szCs w:val="26"/>
        </w:rPr>
        <w:t>а также о порядке и сроках представления к нему замечаний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 распоряжением Алтайкрайимущества от 14.04.2022 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Алтайского края.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>Ознакомиться с проектом отчета 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Алтайкрайимущества https://im.alregn.ru в разделе «Кадастровая оценка».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A28CB" w:rsidRPr="00200609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 xml:space="preserve">Дата окончания приема замечаний – </w:t>
      </w:r>
      <w:r w:rsidR="00200609" w:rsidRPr="00200609">
        <w:rPr>
          <w:rFonts w:ascii="PT Astra Serif" w:hAnsi="PT Astra Serif"/>
          <w:sz w:val="26"/>
          <w:szCs w:val="26"/>
        </w:rPr>
        <w:t>04.10.2023</w:t>
      </w:r>
      <w:r w:rsidRPr="00200609">
        <w:rPr>
          <w:rFonts w:ascii="PT Astra Serif" w:hAnsi="PT Astra Serif"/>
          <w:sz w:val="26"/>
          <w:szCs w:val="26"/>
        </w:rPr>
        <w:t>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>Замечания могут быть представлены любыми заинтересованными</w:t>
      </w:r>
      <w:r w:rsidRPr="003B6D15">
        <w:rPr>
          <w:rFonts w:ascii="PT Astra Serif" w:hAnsi="PT Astra Serif"/>
          <w:sz w:val="26"/>
          <w:szCs w:val="26"/>
        </w:rPr>
        <w:t xml:space="preserve"> лицами.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3B6D15"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3B6D15"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 w:rsidRPr="003B6D15"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Рекомендуемая форма замечания к проекту отчета размещена на сайте Алтайкрайимущества https://im.alregn.ru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могут быть поданы следующими способами: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lastRenderedPageBreak/>
        <w:t xml:space="preserve">1. Почтовым отправлением в КГБУ «АЦНГКО»: 656015, г. Барнаул, </w:t>
      </w:r>
      <w:r w:rsidRPr="003B6D15">
        <w:rPr>
          <w:rFonts w:ascii="PT Astra Serif" w:hAnsi="PT Astra Serif"/>
          <w:sz w:val="26"/>
          <w:szCs w:val="26"/>
        </w:rPr>
        <w:br/>
        <w:t xml:space="preserve">ул. </w:t>
      </w:r>
      <w:proofErr w:type="gramStart"/>
      <w:r w:rsidRPr="003B6D15">
        <w:rPr>
          <w:rFonts w:ascii="PT Astra Serif" w:hAnsi="PT Astra Serif"/>
          <w:sz w:val="26"/>
          <w:szCs w:val="26"/>
        </w:rPr>
        <w:t>Деповская</w:t>
      </w:r>
      <w:proofErr w:type="gramEnd"/>
      <w:r w:rsidRPr="003B6D15">
        <w:rPr>
          <w:rFonts w:ascii="PT Astra Serif" w:hAnsi="PT Astra Serif"/>
          <w:sz w:val="26"/>
          <w:szCs w:val="26"/>
        </w:rPr>
        <w:t>, д. 7г.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2. В электронном виде на адрес электронной почты КГБУ «АЦНГКО» </w:t>
      </w:r>
      <w:proofErr w:type="spellStart"/>
      <w:r w:rsidRPr="003B6D15">
        <w:rPr>
          <w:rFonts w:ascii="PT Astra Serif" w:hAnsi="PT Astra Serif"/>
          <w:sz w:val="26"/>
          <w:szCs w:val="26"/>
        </w:rPr>
        <w:t>altkadastr@</w:t>
      </w:r>
      <w:proofErr w:type="spellEnd"/>
      <w:r w:rsidRPr="003B6D1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B6D15">
        <w:rPr>
          <w:rFonts w:ascii="PT Astra Serif" w:hAnsi="PT Astra Serif"/>
          <w:sz w:val="26"/>
          <w:szCs w:val="26"/>
        </w:rPr>
        <w:t>altkadastr.ru</w:t>
      </w:r>
      <w:proofErr w:type="spellEnd"/>
      <w:r w:rsidRPr="003B6D15">
        <w:rPr>
          <w:rFonts w:ascii="PT Astra Serif" w:hAnsi="PT Astra Serif"/>
          <w:sz w:val="26"/>
          <w:szCs w:val="26"/>
        </w:rPr>
        <w:t>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вопросам определения кадастровой стоимости и направления замечаний в КГБУ «АЦНГКО» действуют телефоны горячей линии: 8 (3852) 29-04-21, 29-04-22, 29-04-23, 29-04-69.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009C5" w:rsidRDefault="003009C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3B6D15">
      <w:pPr>
        <w:tabs>
          <w:tab w:val="decimal" w:pos="9354"/>
        </w:tabs>
        <w:spacing w:after="0" w:line="240" w:lineRule="auto"/>
        <w:jc w:val="both"/>
        <w:rPr>
          <w:rFonts w:ascii="PT Astra Serif" w:hAnsi="PT Astra Serif"/>
          <w:szCs w:val="28"/>
        </w:rPr>
      </w:pPr>
    </w:p>
    <w:sectPr w:rsidR="003B6D15" w:rsidSect="003B6D15">
      <w:headerReference w:type="even" r:id="rId8"/>
      <w:headerReference w:type="default" r:id="rId9"/>
      <w:footerReference w:type="default" r:id="rId10"/>
      <w:pgSz w:w="11906" w:h="16838"/>
      <w:pgMar w:top="709" w:right="851" w:bottom="426" w:left="1701" w:header="42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07" w:rsidRDefault="00A62F07">
      <w:pPr>
        <w:spacing w:after="0" w:line="240" w:lineRule="auto"/>
      </w:pPr>
      <w:r>
        <w:separator/>
      </w:r>
    </w:p>
  </w:endnote>
  <w:endnote w:type="continuationSeparator" w:id="0">
    <w:p w:rsidR="00A62F07" w:rsidRDefault="00A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3" w:rsidRDefault="005C395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07" w:rsidRDefault="00A62F07">
      <w:pPr>
        <w:spacing w:after="0" w:line="240" w:lineRule="auto"/>
      </w:pPr>
      <w:r>
        <w:separator/>
      </w:r>
    </w:p>
  </w:footnote>
  <w:footnote w:type="continuationSeparator" w:id="0">
    <w:p w:rsidR="00A62F07" w:rsidRDefault="00A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3" w:rsidRDefault="005C3953">
    <w:pPr>
      <w:pStyle w:val="af3"/>
      <w:jc w:val="right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393377"/>
      <w:docPartObj>
        <w:docPartGallery w:val="Page Numbers (Top of Page)"/>
        <w:docPartUnique/>
      </w:docPartObj>
    </w:sdtPr>
    <w:sdtContent>
      <w:p w:rsidR="005C3953" w:rsidRDefault="009B32C3" w:rsidP="003B6D15">
        <w:pPr>
          <w:pStyle w:val="af3"/>
          <w:jc w:val="right"/>
        </w:pPr>
        <w:r>
          <w:fldChar w:fldCharType="begin"/>
        </w:r>
        <w:r w:rsidR="005C3953">
          <w:instrText>PAGE   \* MERGEFORMAT</w:instrText>
        </w:r>
        <w:r>
          <w:fldChar w:fldCharType="separate"/>
        </w:r>
        <w:r w:rsidR="009053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1C5"/>
    <w:multiLevelType w:val="hybridMultilevel"/>
    <w:tmpl w:val="1DB88436"/>
    <w:lvl w:ilvl="0" w:tplc="98EE9314">
      <w:start w:val="1"/>
      <w:numFmt w:val="decimal"/>
      <w:lvlText w:val="%1."/>
      <w:lvlJc w:val="left"/>
      <w:pPr>
        <w:ind w:left="720" w:hanging="360"/>
      </w:pPr>
    </w:lvl>
    <w:lvl w:ilvl="1" w:tplc="F81E2C26">
      <w:start w:val="1"/>
      <w:numFmt w:val="lowerLetter"/>
      <w:lvlText w:val="%2."/>
      <w:lvlJc w:val="left"/>
      <w:pPr>
        <w:ind w:left="1440" w:hanging="360"/>
      </w:pPr>
    </w:lvl>
    <w:lvl w:ilvl="2" w:tplc="1E16ADB2">
      <w:start w:val="1"/>
      <w:numFmt w:val="lowerRoman"/>
      <w:lvlText w:val="%3."/>
      <w:lvlJc w:val="right"/>
      <w:pPr>
        <w:ind w:left="2160" w:hanging="180"/>
      </w:pPr>
    </w:lvl>
    <w:lvl w:ilvl="3" w:tplc="3370B7EA">
      <w:start w:val="1"/>
      <w:numFmt w:val="decimal"/>
      <w:lvlText w:val="%4."/>
      <w:lvlJc w:val="left"/>
      <w:pPr>
        <w:ind w:left="2880" w:hanging="360"/>
      </w:pPr>
    </w:lvl>
    <w:lvl w:ilvl="4" w:tplc="3080FC60">
      <w:start w:val="1"/>
      <w:numFmt w:val="lowerLetter"/>
      <w:lvlText w:val="%5."/>
      <w:lvlJc w:val="left"/>
      <w:pPr>
        <w:ind w:left="3600" w:hanging="360"/>
      </w:pPr>
    </w:lvl>
    <w:lvl w:ilvl="5" w:tplc="B70E3652">
      <w:start w:val="1"/>
      <w:numFmt w:val="lowerRoman"/>
      <w:lvlText w:val="%6."/>
      <w:lvlJc w:val="right"/>
      <w:pPr>
        <w:ind w:left="4320" w:hanging="180"/>
      </w:pPr>
    </w:lvl>
    <w:lvl w:ilvl="6" w:tplc="58FACDC4">
      <w:start w:val="1"/>
      <w:numFmt w:val="decimal"/>
      <w:lvlText w:val="%7."/>
      <w:lvlJc w:val="left"/>
      <w:pPr>
        <w:ind w:left="5040" w:hanging="360"/>
      </w:pPr>
    </w:lvl>
    <w:lvl w:ilvl="7" w:tplc="77209CB8">
      <w:start w:val="1"/>
      <w:numFmt w:val="lowerLetter"/>
      <w:lvlText w:val="%8."/>
      <w:lvlJc w:val="left"/>
      <w:pPr>
        <w:ind w:left="5760" w:hanging="360"/>
      </w:pPr>
    </w:lvl>
    <w:lvl w:ilvl="8" w:tplc="B9EE62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3287"/>
    <w:multiLevelType w:val="hybridMultilevel"/>
    <w:tmpl w:val="556ED9B6"/>
    <w:lvl w:ilvl="0" w:tplc="993AB148">
      <w:start w:val="1"/>
      <w:numFmt w:val="decimal"/>
      <w:lvlText w:val="%1."/>
      <w:lvlJc w:val="left"/>
      <w:pPr>
        <w:ind w:left="720" w:hanging="360"/>
      </w:pPr>
    </w:lvl>
    <w:lvl w:ilvl="1" w:tplc="93CC8C06">
      <w:start w:val="1"/>
      <w:numFmt w:val="lowerLetter"/>
      <w:lvlText w:val="%2."/>
      <w:lvlJc w:val="left"/>
      <w:pPr>
        <w:ind w:left="1440" w:hanging="360"/>
      </w:pPr>
    </w:lvl>
    <w:lvl w:ilvl="2" w:tplc="293EAD82">
      <w:start w:val="1"/>
      <w:numFmt w:val="lowerRoman"/>
      <w:lvlText w:val="%3."/>
      <w:lvlJc w:val="right"/>
      <w:pPr>
        <w:ind w:left="2160" w:hanging="180"/>
      </w:pPr>
    </w:lvl>
    <w:lvl w:ilvl="3" w:tplc="DB8038F2">
      <w:start w:val="1"/>
      <w:numFmt w:val="decimal"/>
      <w:lvlText w:val="%4."/>
      <w:lvlJc w:val="left"/>
      <w:pPr>
        <w:ind w:left="2880" w:hanging="360"/>
      </w:pPr>
    </w:lvl>
    <w:lvl w:ilvl="4" w:tplc="FF02927E">
      <w:start w:val="1"/>
      <w:numFmt w:val="lowerLetter"/>
      <w:lvlText w:val="%5."/>
      <w:lvlJc w:val="left"/>
      <w:pPr>
        <w:ind w:left="3600" w:hanging="360"/>
      </w:pPr>
    </w:lvl>
    <w:lvl w:ilvl="5" w:tplc="8E248BF8">
      <w:start w:val="1"/>
      <w:numFmt w:val="lowerRoman"/>
      <w:lvlText w:val="%6."/>
      <w:lvlJc w:val="right"/>
      <w:pPr>
        <w:ind w:left="4320" w:hanging="180"/>
      </w:pPr>
    </w:lvl>
    <w:lvl w:ilvl="6" w:tplc="17009FBE">
      <w:start w:val="1"/>
      <w:numFmt w:val="decimal"/>
      <w:lvlText w:val="%7."/>
      <w:lvlJc w:val="left"/>
      <w:pPr>
        <w:ind w:left="5040" w:hanging="360"/>
      </w:pPr>
    </w:lvl>
    <w:lvl w:ilvl="7" w:tplc="D1EE32A0">
      <w:start w:val="1"/>
      <w:numFmt w:val="lowerLetter"/>
      <w:lvlText w:val="%8."/>
      <w:lvlJc w:val="left"/>
      <w:pPr>
        <w:ind w:left="5760" w:hanging="360"/>
      </w:pPr>
    </w:lvl>
    <w:lvl w:ilvl="8" w:tplc="A3C694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11"/>
    <w:rsid w:val="0005056D"/>
    <w:rsid w:val="000C48CA"/>
    <w:rsid w:val="00200609"/>
    <w:rsid w:val="003009C5"/>
    <w:rsid w:val="003B6D15"/>
    <w:rsid w:val="00464DE4"/>
    <w:rsid w:val="005C3953"/>
    <w:rsid w:val="005D2386"/>
    <w:rsid w:val="008A28CB"/>
    <w:rsid w:val="008B5E47"/>
    <w:rsid w:val="00905386"/>
    <w:rsid w:val="009B32C3"/>
    <w:rsid w:val="00A34E11"/>
    <w:rsid w:val="00A6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3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32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B32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B32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B32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32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B32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32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B32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B32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B32C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B32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B32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32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B32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B32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B32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32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B32C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B32C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B32C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B32C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32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32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32C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B32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B32C3"/>
    <w:rPr>
      <w:i/>
    </w:rPr>
  </w:style>
  <w:style w:type="character" w:customStyle="1" w:styleId="HeaderChar">
    <w:name w:val="Header Char"/>
    <w:basedOn w:val="a0"/>
    <w:uiPriority w:val="99"/>
    <w:rsid w:val="009B32C3"/>
  </w:style>
  <w:style w:type="character" w:customStyle="1" w:styleId="FooterChar">
    <w:name w:val="Footer Char"/>
    <w:basedOn w:val="a0"/>
    <w:uiPriority w:val="99"/>
    <w:rsid w:val="009B32C3"/>
  </w:style>
  <w:style w:type="paragraph" w:styleId="aa">
    <w:name w:val="caption"/>
    <w:basedOn w:val="a"/>
    <w:next w:val="a"/>
    <w:uiPriority w:val="35"/>
    <w:semiHidden/>
    <w:unhideWhenUsed/>
    <w:qFormat/>
    <w:rsid w:val="009B32C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9B32C3"/>
  </w:style>
  <w:style w:type="table" w:customStyle="1" w:styleId="TableGridLight">
    <w:name w:val="Table Grid Light"/>
    <w:basedOn w:val="a1"/>
    <w:uiPriority w:val="59"/>
    <w:rsid w:val="009B3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B3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B32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32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32C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3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32C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3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32C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B32C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B32C3"/>
    <w:rPr>
      <w:sz w:val="18"/>
    </w:rPr>
  </w:style>
  <w:style w:type="character" w:styleId="ad">
    <w:name w:val="footnote reference"/>
    <w:basedOn w:val="a0"/>
    <w:uiPriority w:val="99"/>
    <w:unhideWhenUsed/>
    <w:rsid w:val="009B32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B32C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B32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9B32C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B32C3"/>
    <w:pPr>
      <w:spacing w:after="57"/>
    </w:pPr>
  </w:style>
  <w:style w:type="paragraph" w:styleId="23">
    <w:name w:val="toc 2"/>
    <w:basedOn w:val="a"/>
    <w:next w:val="a"/>
    <w:uiPriority w:val="39"/>
    <w:unhideWhenUsed/>
    <w:rsid w:val="009B32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B32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B32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B32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32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32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32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32C3"/>
    <w:pPr>
      <w:spacing w:after="57"/>
      <w:ind w:left="2268"/>
    </w:pPr>
  </w:style>
  <w:style w:type="paragraph" w:styleId="af1">
    <w:name w:val="TOC Heading"/>
    <w:uiPriority w:val="39"/>
    <w:unhideWhenUsed/>
    <w:rsid w:val="009B32C3"/>
  </w:style>
  <w:style w:type="paragraph" w:styleId="af2">
    <w:name w:val="table of figures"/>
    <w:basedOn w:val="a"/>
    <w:next w:val="a"/>
    <w:uiPriority w:val="99"/>
    <w:unhideWhenUsed/>
    <w:rsid w:val="009B32C3"/>
    <w:pPr>
      <w:spacing w:after="0"/>
    </w:pPr>
  </w:style>
  <w:style w:type="paragraph" w:styleId="af3">
    <w:name w:val="header"/>
    <w:basedOn w:val="a"/>
    <w:link w:val="af4"/>
    <w:uiPriority w:val="99"/>
    <w:unhideWhenUsed/>
    <w:rsid w:val="009B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32C3"/>
  </w:style>
  <w:style w:type="paragraph" w:styleId="af5">
    <w:name w:val="footer"/>
    <w:basedOn w:val="a"/>
    <w:link w:val="af6"/>
    <w:uiPriority w:val="99"/>
    <w:unhideWhenUsed/>
    <w:rsid w:val="009B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32C3"/>
  </w:style>
  <w:style w:type="table" w:styleId="af7">
    <w:name w:val="Table Grid"/>
    <w:basedOn w:val="a1"/>
    <w:uiPriority w:val="59"/>
    <w:rsid w:val="009B3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B32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9B32C3"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sid w:val="009B32C3"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9B32C3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sid w:val="009B32C3"/>
    <w:rPr>
      <w:color w:val="0000FF"/>
      <w:u w:val="single"/>
    </w:rPr>
  </w:style>
  <w:style w:type="paragraph" w:customStyle="1" w:styleId="ConsPlusNormal">
    <w:name w:val="ConsPlusNormal"/>
    <w:rsid w:val="009B32C3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32C3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rsid w:val="009B32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9B32C3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A8E0-A8AE-43C3-9818-A28DAAB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А. Матвеев</dc:creator>
  <cp:lastModifiedBy>Скворцова Татьяна</cp:lastModifiedBy>
  <cp:revision>3</cp:revision>
  <cp:lastPrinted>2023-09-13T02:52:00Z</cp:lastPrinted>
  <dcterms:created xsi:type="dcterms:W3CDTF">2023-09-13T02:54:00Z</dcterms:created>
  <dcterms:modified xsi:type="dcterms:W3CDTF">2023-09-13T02:55:00Z</dcterms:modified>
</cp:coreProperties>
</file>